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99604F" w:rsidTr="0099604F">
        <w:tc>
          <w:tcPr>
            <w:tcW w:w="2376" w:type="dxa"/>
          </w:tcPr>
          <w:p w:rsidR="0099604F" w:rsidRDefault="0099604F" w:rsidP="0080541E">
            <w:pPr>
              <w:tabs>
                <w:tab w:val="center" w:pos="5102"/>
                <w:tab w:val="left" w:pos="9341"/>
              </w:tabs>
              <w:spacing w:after="0" w:line="360" w:lineRule="auto"/>
              <w:jc w:val="center"/>
              <w:rPr>
                <w:rFonts w:ascii="Trebuchet MS" w:hAnsi="Trebuchet MS"/>
                <w:b/>
                <w:color w:val="009999"/>
              </w:rPr>
            </w:pPr>
            <w:r>
              <w:rPr>
                <w:rFonts w:ascii="Calibri" w:hAnsi="Calibri" w:cs="Arial"/>
                <w:b/>
                <w:bCs/>
                <w:noProof/>
                <w:lang w:eastAsia="fr-FR"/>
              </w:rPr>
              <w:drawing>
                <wp:inline distT="0" distB="0" distL="0" distR="0">
                  <wp:extent cx="1061556" cy="733647"/>
                  <wp:effectExtent l="0" t="0" r="0" b="0"/>
                  <wp:docPr id="21" name="Image 8" descr="logo C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C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27" cy="73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vAlign w:val="center"/>
          </w:tcPr>
          <w:p w:rsidR="0099604F" w:rsidRPr="006050ED" w:rsidRDefault="0099604F" w:rsidP="0099604F">
            <w:pPr>
              <w:tabs>
                <w:tab w:val="center" w:pos="5102"/>
                <w:tab w:val="left" w:pos="9341"/>
              </w:tabs>
              <w:spacing w:after="0" w:line="360" w:lineRule="auto"/>
              <w:jc w:val="center"/>
              <w:rPr>
                <w:rFonts w:ascii="Trebuchet MS" w:hAnsi="Trebuchet MS"/>
                <w:b/>
                <w:color w:val="009999"/>
                <w:sz w:val="24"/>
                <w:szCs w:val="24"/>
              </w:rPr>
            </w:pPr>
            <w:r w:rsidRPr="006050ED">
              <w:rPr>
                <w:rFonts w:ascii="Trebuchet MS" w:hAnsi="Trebuchet MS"/>
                <w:b/>
                <w:color w:val="009999"/>
                <w:sz w:val="24"/>
                <w:szCs w:val="24"/>
              </w:rPr>
              <w:t>COMPTE ADMINISTRATIF 20</w:t>
            </w:r>
            <w:r w:rsidR="00F52DAA">
              <w:rPr>
                <w:rFonts w:ascii="Trebuchet MS" w:hAnsi="Trebuchet MS"/>
                <w:b/>
                <w:color w:val="009999"/>
                <w:sz w:val="24"/>
                <w:szCs w:val="24"/>
              </w:rPr>
              <w:t>20</w:t>
            </w:r>
          </w:p>
          <w:p w:rsidR="0099604F" w:rsidRDefault="0099604F" w:rsidP="0099604F">
            <w:pPr>
              <w:spacing w:after="0" w:line="360" w:lineRule="auto"/>
              <w:jc w:val="center"/>
              <w:rPr>
                <w:rFonts w:ascii="Trebuchet MS" w:hAnsi="Trebuchet MS"/>
                <w:b/>
                <w:color w:val="009999"/>
              </w:rPr>
            </w:pPr>
            <w:r w:rsidRPr="006050ED">
              <w:rPr>
                <w:rFonts w:ascii="Trebuchet MS" w:hAnsi="Trebuchet MS"/>
                <w:b/>
                <w:color w:val="009999"/>
                <w:sz w:val="24"/>
                <w:szCs w:val="24"/>
              </w:rPr>
              <w:t>COMMUNAUTÉ D’AGGLOMÉRATION ROCHEFORT OCÉAN</w:t>
            </w:r>
          </w:p>
        </w:tc>
      </w:tr>
    </w:tbl>
    <w:sdt>
      <w:sdtPr>
        <w:rPr>
          <w:rFonts w:eastAsiaTheme="minorHAnsi" w:cstheme="minorBidi"/>
          <w:b w:val="0"/>
          <w:bCs w:val="0"/>
          <w:color w:val="auto"/>
          <w:sz w:val="22"/>
          <w:szCs w:val="22"/>
        </w:rPr>
        <w:id w:val="324373672"/>
        <w:docPartObj>
          <w:docPartGallery w:val="Table of Contents"/>
          <w:docPartUnique/>
        </w:docPartObj>
      </w:sdtPr>
      <w:sdtEndPr/>
      <w:sdtContent>
        <w:p w:rsidR="0080541E" w:rsidRDefault="0080541E" w:rsidP="00693BDD">
          <w:pPr>
            <w:pStyle w:val="En-ttedetabledesmatires"/>
            <w:spacing w:before="0" w:line="240" w:lineRule="auto"/>
            <w:jc w:val="center"/>
          </w:pPr>
          <w:r>
            <w:t>Table des matières</w:t>
          </w:r>
        </w:p>
        <w:p w:rsidR="008F7F19" w:rsidRDefault="00FE2974">
          <w:pPr>
            <w:pStyle w:val="TM1"/>
            <w:rPr>
              <w:rFonts w:eastAsiaTheme="minorEastAsia"/>
              <w:b w:val="0"/>
              <w:lang w:eastAsia="fr-FR"/>
            </w:rPr>
          </w:pPr>
          <w:r w:rsidRPr="00A64BBD">
            <w:fldChar w:fldCharType="begin"/>
          </w:r>
          <w:r w:rsidR="0080541E" w:rsidRPr="00A64BBD">
            <w:instrText xml:space="preserve"> TOC \o "1-3" \h \z \u </w:instrText>
          </w:r>
          <w:r w:rsidRPr="00A64BBD">
            <w:fldChar w:fldCharType="separate"/>
          </w:r>
          <w:hyperlink w:anchor="_Toc74317320" w:history="1">
            <w:r w:rsidR="008F7F19" w:rsidRPr="004842C5">
              <w:rPr>
                <w:rStyle w:val="Lienhypertexte"/>
              </w:rPr>
              <w:t>I.</w:t>
            </w:r>
            <w:r w:rsidR="008F7F19">
              <w:rPr>
                <w:rFonts w:eastAsiaTheme="minorEastAsia"/>
                <w:b w:val="0"/>
                <w:lang w:eastAsia="fr-FR"/>
              </w:rPr>
              <w:tab/>
            </w:r>
            <w:r w:rsidR="008F7F19" w:rsidRPr="004842C5">
              <w:rPr>
                <w:rStyle w:val="Lienhypertexte"/>
              </w:rPr>
              <w:t>L’impact de la crise sanitaire</w:t>
            </w:r>
            <w:r w:rsidR="008F7F19">
              <w:rPr>
                <w:webHidden/>
              </w:rPr>
              <w:tab/>
            </w:r>
            <w:r w:rsidR="008F7F19">
              <w:rPr>
                <w:webHidden/>
              </w:rPr>
              <w:fldChar w:fldCharType="begin"/>
            </w:r>
            <w:r w:rsidR="008F7F19">
              <w:rPr>
                <w:webHidden/>
              </w:rPr>
              <w:instrText xml:space="preserve"> PAGEREF _Toc74317320 \h </w:instrText>
            </w:r>
            <w:r w:rsidR="008F7F19">
              <w:rPr>
                <w:webHidden/>
              </w:rPr>
            </w:r>
            <w:r w:rsidR="008F7F19">
              <w:rPr>
                <w:webHidden/>
              </w:rPr>
              <w:fldChar w:fldCharType="separate"/>
            </w:r>
            <w:r w:rsidR="00AA7931">
              <w:rPr>
                <w:webHidden/>
              </w:rPr>
              <w:t>3</w:t>
            </w:r>
            <w:r w:rsidR="008F7F19">
              <w:rPr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21" w:history="1">
            <w:r w:rsidR="008F7F19" w:rsidRPr="004842C5">
              <w:rPr>
                <w:rStyle w:val="Lienhypertexte"/>
                <w:noProof/>
              </w:rPr>
              <w:t>A.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Les conséquences « subies »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_Toc74317321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3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22" w:history="1">
            <w:r w:rsidR="008F7F19" w:rsidRPr="004842C5">
              <w:rPr>
                <w:rStyle w:val="Lienhypertexte"/>
                <w:noProof/>
              </w:rPr>
              <w:t>B.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Les mesures de soutien, prises par la CARO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_Toc74317322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3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23" w:history="1">
            <w:r w:rsidR="008F7F19" w:rsidRPr="004842C5">
              <w:rPr>
                <w:rStyle w:val="Lienhypertexte"/>
                <w:noProof/>
              </w:rPr>
              <w:t>C.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 financement des effets de la crise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_Toc74317323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4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74317324" w:history="1">
            <w:r w:rsidR="008F7F19" w:rsidRPr="004842C5">
              <w:rPr>
                <w:rStyle w:val="Lienhypertexte"/>
              </w:rPr>
              <w:t>II.</w:t>
            </w:r>
            <w:r w:rsidR="008F7F19">
              <w:rPr>
                <w:rFonts w:eastAsiaTheme="minorEastAsia"/>
                <w:b w:val="0"/>
                <w:lang w:eastAsia="fr-FR"/>
              </w:rPr>
              <w:tab/>
            </w:r>
            <w:r w:rsidR="008F7F19" w:rsidRPr="004842C5">
              <w:rPr>
                <w:rStyle w:val="Lienhypertexte"/>
              </w:rPr>
              <w:t>Le budget principal</w:t>
            </w:r>
            <w:r w:rsidR="008F7F19">
              <w:rPr>
                <w:webHidden/>
              </w:rPr>
              <w:tab/>
            </w:r>
            <w:r w:rsidR="008F7F19">
              <w:rPr>
                <w:webHidden/>
              </w:rPr>
              <w:fldChar w:fldCharType="begin"/>
            </w:r>
            <w:r w:rsidR="008F7F19">
              <w:rPr>
                <w:webHidden/>
              </w:rPr>
              <w:instrText xml:space="preserve"> PAGEREF _Toc74317324 \h </w:instrText>
            </w:r>
            <w:r w:rsidR="008F7F19">
              <w:rPr>
                <w:webHidden/>
              </w:rPr>
            </w:r>
            <w:r w:rsidR="008F7F19">
              <w:rPr>
                <w:webHidden/>
              </w:rPr>
              <w:fldChar w:fldCharType="separate"/>
            </w:r>
            <w:r w:rsidR="00AA7931">
              <w:rPr>
                <w:webHidden/>
              </w:rPr>
              <w:t>6</w:t>
            </w:r>
            <w:r w:rsidR="008F7F19">
              <w:rPr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25" w:history="1">
            <w:r w:rsidR="008F7F19" w:rsidRPr="004842C5">
              <w:rPr>
                <w:rStyle w:val="Lienhypertexte"/>
                <w:noProof/>
              </w:rPr>
              <w:t>A.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Les recettes de fonctionnement (34,5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_Toc74317325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6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26" w:history="1">
            <w:r w:rsidR="008F7F19" w:rsidRPr="004842C5">
              <w:rPr>
                <w:rStyle w:val="Lienhypertexte"/>
                <w:noProof/>
              </w:rPr>
              <w:t>1.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Chapitre 013 – les atténuations de charges (0,21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_Toc74317326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6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27" w:history="1">
            <w:r w:rsidR="008F7F19" w:rsidRPr="004842C5">
              <w:rPr>
                <w:rStyle w:val="Lienhypertexte"/>
                <w:noProof/>
              </w:rPr>
              <w:t>2.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Chapitre 70 : les produits des services et du domaine (1,4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_Toc74317327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6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28" w:history="1">
            <w:r w:rsidR="008F7F19" w:rsidRPr="004842C5">
              <w:rPr>
                <w:rStyle w:val="Lienhypertexte"/>
                <w:noProof/>
              </w:rPr>
              <w:t>3.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Chapitre 73 : les impôts et taxes (23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_Toc74317328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7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29" w:history="1">
            <w:r w:rsidR="008F7F19" w:rsidRPr="004842C5">
              <w:rPr>
                <w:rStyle w:val="Lienhypertexte"/>
                <w:noProof/>
              </w:rPr>
              <w:t>4.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Chapitre 74 : les dotations (6,9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_Toc74317329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9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30" w:history="1">
            <w:r w:rsidR="008F7F19" w:rsidRPr="004842C5">
              <w:rPr>
                <w:rStyle w:val="Lienhypertexte"/>
                <w:noProof/>
              </w:rPr>
              <w:t>5.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Chapitre 75 : les loyers (0,5 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_Toc74317330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10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31" w:history="1">
            <w:r w:rsidR="008F7F19" w:rsidRPr="004842C5">
              <w:rPr>
                <w:rStyle w:val="Lienhypertexte"/>
                <w:noProof/>
              </w:rPr>
              <w:t>6.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Chapitre 77 : les produits exceptionnels (0,17 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_Toc74317331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11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32" w:history="1">
            <w:r w:rsidR="008F7F19" w:rsidRPr="004842C5">
              <w:rPr>
                <w:rStyle w:val="Lienhypertexte"/>
                <w:noProof/>
              </w:rPr>
              <w:t>B.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Les dépenses de fonctionnement (28,3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_Toc74317332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12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33" w:history="1">
            <w:r w:rsidR="008F7F19" w:rsidRPr="004842C5">
              <w:rPr>
                <w:rStyle w:val="Lienhypertexte"/>
                <w:noProof/>
              </w:rPr>
              <w:t>1.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Chapitre 011 : les charges à caractère général par secteur (4,1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_Toc74317333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12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34" w:history="1">
            <w:r w:rsidR="008F7F19" w:rsidRPr="004842C5">
              <w:rPr>
                <w:rStyle w:val="Lienhypertexte"/>
                <w:noProof/>
              </w:rPr>
              <w:t>2.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Chapitre 012 : les charges de personnel (12,3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_Toc74317334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14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35" w:history="1">
            <w:r w:rsidR="008F7F19" w:rsidRPr="004842C5">
              <w:rPr>
                <w:rStyle w:val="Lienhypertexte"/>
                <w:noProof/>
              </w:rPr>
              <w:t>3.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Chapitre 014 : les atténuations de produits (2,4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_Toc74317335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15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36" w:history="1">
            <w:r w:rsidR="008F7F19" w:rsidRPr="004842C5">
              <w:rPr>
                <w:rStyle w:val="Lienhypertexte"/>
                <w:noProof/>
              </w:rPr>
              <w:t>4.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Chapitre 65 : les subventions versées (6,7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_Toc74317336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16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37" w:history="1">
            <w:r w:rsidR="008F7F19" w:rsidRPr="004842C5">
              <w:rPr>
                <w:rStyle w:val="Lienhypertexte"/>
                <w:noProof/>
              </w:rPr>
              <w:t>5.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Chapitre 66 : les charges financières (0,34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_Toc74317337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17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38" w:history="1">
            <w:r w:rsidR="008F7F19" w:rsidRPr="004842C5">
              <w:rPr>
                <w:rStyle w:val="Lienhypertexte"/>
                <w:noProof/>
              </w:rPr>
              <w:t>6.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Chapitre 67 : les charges exceptionnelles (0,78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_Toc74317338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17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39" w:history="1">
            <w:r w:rsidR="008F7F19" w:rsidRPr="004842C5">
              <w:rPr>
                <w:rStyle w:val="Lienhypertexte"/>
                <w:noProof/>
              </w:rPr>
              <w:t>C.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Les recettes d’investissement (3,97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_Toc74317339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18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40" w:history="1">
            <w:r w:rsidR="008F7F19" w:rsidRPr="004842C5">
              <w:rPr>
                <w:rStyle w:val="Lienhypertexte"/>
                <w:noProof/>
              </w:rPr>
              <w:t>1.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Chapitre 10 : dotations et fonds divers (4,2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_Toc74317340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18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41" w:history="1">
            <w:r w:rsidR="008F7F19" w:rsidRPr="004842C5">
              <w:rPr>
                <w:rStyle w:val="Lienhypertexte"/>
                <w:noProof/>
              </w:rPr>
              <w:t>2.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Chapitre 13 : les subventions d’investissement reçues  (0,46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_Toc74317341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18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42" w:history="1">
            <w:r w:rsidR="008F7F19" w:rsidRPr="004842C5">
              <w:rPr>
                <w:rStyle w:val="Lienhypertexte"/>
                <w:noProof/>
              </w:rPr>
              <w:t>3.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Chapitre 16 : le financement par emprunt (2,2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_Toc74317342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19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43" w:history="1">
            <w:r w:rsidR="008F7F19" w:rsidRPr="004842C5">
              <w:rPr>
                <w:rStyle w:val="Lienhypertexte"/>
                <w:noProof/>
              </w:rPr>
              <w:t>D.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Les dépenses d’investissement (10,57 M€)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_Toc74317343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20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44" w:history="1">
            <w:r w:rsidR="008F7F19" w:rsidRPr="004842C5">
              <w:rPr>
                <w:rStyle w:val="Lienhypertexte"/>
                <w:noProof/>
              </w:rPr>
              <w:t>E.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 résultat 2020 et son affectation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_Toc74317344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23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45" w:history="1">
            <w:r w:rsidR="008F7F19" w:rsidRPr="004842C5">
              <w:rPr>
                <w:rStyle w:val="Lienhypertexte"/>
                <w:noProof/>
              </w:rPr>
              <w:t>G.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Eléments complémentaires : Note brève &amp; synthétique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_Toc74317345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24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46" w:history="1">
            <w:r w:rsidR="008F7F19" w:rsidRPr="004842C5">
              <w:rPr>
                <w:rStyle w:val="Lienhypertexte"/>
                <w:noProof/>
              </w:rPr>
              <w:t>1.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Niveau des épargnes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_Toc74317346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24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47" w:history="1">
            <w:r w:rsidR="008F7F19" w:rsidRPr="004842C5">
              <w:rPr>
                <w:rStyle w:val="Lienhypertexte"/>
                <w:noProof/>
              </w:rPr>
              <w:t>2.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Niveau d’endettement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_Toc74317347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24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48" w:history="1">
            <w:r w:rsidR="008F7F19" w:rsidRPr="004842C5">
              <w:rPr>
                <w:rStyle w:val="Lienhypertexte"/>
                <w:noProof/>
              </w:rPr>
              <w:t>4.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Délai de désendettement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_Toc74317348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25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49" w:history="1">
            <w:r w:rsidR="008F7F19" w:rsidRPr="004842C5">
              <w:rPr>
                <w:rStyle w:val="Lienhypertexte"/>
                <w:noProof/>
              </w:rPr>
              <w:t>5.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Ratios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_Toc74317349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25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50" w:history="1">
            <w:r w:rsidR="008F7F19" w:rsidRPr="004842C5">
              <w:rPr>
                <w:rStyle w:val="Lienhypertexte"/>
                <w:noProof/>
              </w:rPr>
              <w:t>6.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Effectifs de la collectivité et charges de personnel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_Toc74317350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25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51" w:history="1">
            <w:r w:rsidR="008F7F19" w:rsidRPr="004842C5">
              <w:rPr>
                <w:rStyle w:val="Lienhypertexte"/>
                <w:noProof/>
              </w:rPr>
              <w:t>H.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La dette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_Toc74317351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26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74317352" w:history="1">
            <w:r w:rsidR="008F7F19" w:rsidRPr="004842C5">
              <w:rPr>
                <w:rStyle w:val="Lienhypertexte"/>
              </w:rPr>
              <w:t>III.</w:t>
            </w:r>
            <w:r w:rsidR="008F7F19">
              <w:rPr>
                <w:rFonts w:eastAsiaTheme="minorEastAsia"/>
                <w:b w:val="0"/>
                <w:lang w:eastAsia="fr-FR"/>
              </w:rPr>
              <w:tab/>
            </w:r>
            <w:r w:rsidR="008F7F19" w:rsidRPr="004842C5">
              <w:rPr>
                <w:rStyle w:val="Lienhypertexte"/>
              </w:rPr>
              <w:t>Les budgets annexes administratifs</w:t>
            </w:r>
            <w:r w:rsidR="008F7F19">
              <w:rPr>
                <w:webHidden/>
              </w:rPr>
              <w:tab/>
            </w:r>
            <w:r w:rsidR="008F7F19">
              <w:rPr>
                <w:webHidden/>
              </w:rPr>
              <w:fldChar w:fldCharType="begin"/>
            </w:r>
            <w:r w:rsidR="008F7F19">
              <w:rPr>
                <w:webHidden/>
              </w:rPr>
              <w:instrText xml:space="preserve"> PAGEREF _Toc74317352 \h </w:instrText>
            </w:r>
            <w:r w:rsidR="008F7F19">
              <w:rPr>
                <w:webHidden/>
              </w:rPr>
            </w:r>
            <w:r w:rsidR="008F7F19">
              <w:rPr>
                <w:webHidden/>
              </w:rPr>
              <w:fldChar w:fldCharType="separate"/>
            </w:r>
            <w:r w:rsidR="00AA7931">
              <w:rPr>
                <w:webHidden/>
              </w:rPr>
              <w:t>27</w:t>
            </w:r>
            <w:r w:rsidR="008F7F19">
              <w:rPr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53" w:history="1">
            <w:r w:rsidR="008F7F19" w:rsidRPr="004842C5">
              <w:rPr>
                <w:rStyle w:val="Lienhypertexte"/>
                <w:noProof/>
              </w:rPr>
              <w:t>A.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Activités économiques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_Toc74317353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27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54" w:history="1">
            <w:r w:rsidR="008F7F19" w:rsidRPr="004842C5">
              <w:rPr>
                <w:rStyle w:val="Lienhypertexte"/>
                <w:noProof/>
              </w:rPr>
              <w:t>1.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L’analyse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_Toc74317354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28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55" w:history="1">
            <w:r w:rsidR="008F7F19" w:rsidRPr="004842C5">
              <w:rPr>
                <w:rStyle w:val="Lienhypertexte"/>
                <w:noProof/>
              </w:rPr>
              <w:t>3.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 résultat 2020 et son affectation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_Toc74317355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30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56" w:history="1">
            <w:r w:rsidR="008F7F19" w:rsidRPr="004842C5">
              <w:rPr>
                <w:rStyle w:val="Lienhypertexte"/>
                <w:noProof/>
              </w:rPr>
              <w:t>B.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Transport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_Toc74317356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31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57" w:history="1">
            <w:r w:rsidR="008F7F19" w:rsidRPr="004842C5">
              <w:rPr>
                <w:rStyle w:val="Lienhypertexte"/>
                <w:noProof/>
              </w:rPr>
              <w:t>1.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L’analyse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_Toc74317357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32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58" w:history="1">
            <w:r w:rsidR="008F7F19" w:rsidRPr="004842C5">
              <w:rPr>
                <w:rStyle w:val="Lienhypertexte"/>
                <w:noProof/>
              </w:rPr>
              <w:t>2.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 résultat 2020 et son affectation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_Toc74317358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33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59" w:history="1">
            <w:r w:rsidR="008F7F19" w:rsidRPr="004842C5">
              <w:rPr>
                <w:rStyle w:val="Lienhypertexte"/>
                <w:noProof/>
              </w:rPr>
              <w:t>C.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PLIE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_Toc74317359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34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60" w:history="1">
            <w:r w:rsidR="008F7F19" w:rsidRPr="004842C5">
              <w:rPr>
                <w:rStyle w:val="Lienhypertexte"/>
                <w:noProof/>
              </w:rPr>
              <w:t>1.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L’analyse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_Toc74317360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34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61" w:history="1">
            <w:r w:rsidR="008F7F19" w:rsidRPr="004842C5">
              <w:rPr>
                <w:rStyle w:val="Lienhypertexte"/>
                <w:noProof/>
              </w:rPr>
              <w:t>2.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 résultat 2020 et son affectation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_Toc74317361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35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62" w:history="1">
            <w:r w:rsidR="008F7F19" w:rsidRPr="004842C5">
              <w:rPr>
                <w:rStyle w:val="Lienhypertexte"/>
                <w:noProof/>
              </w:rPr>
              <w:t>D.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Tourisme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_Toc74317362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36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63" w:history="1">
            <w:r w:rsidR="008F7F19" w:rsidRPr="004842C5">
              <w:rPr>
                <w:rStyle w:val="Lienhypertexte"/>
                <w:noProof/>
              </w:rPr>
              <w:t>1.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L’analyse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_Toc74317363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37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64" w:history="1">
            <w:r w:rsidR="008F7F19" w:rsidRPr="004842C5">
              <w:rPr>
                <w:rStyle w:val="Lienhypertexte"/>
                <w:noProof/>
              </w:rPr>
              <w:t>2.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 résultat 2020 et son affectation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_Toc74317364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37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74317365" w:history="1">
            <w:r w:rsidR="008F7F19" w:rsidRPr="004842C5">
              <w:rPr>
                <w:rStyle w:val="Lienhypertexte"/>
              </w:rPr>
              <w:t>IV.</w:t>
            </w:r>
            <w:r w:rsidR="008F7F19">
              <w:rPr>
                <w:rFonts w:eastAsiaTheme="minorEastAsia"/>
                <w:b w:val="0"/>
                <w:lang w:eastAsia="fr-FR"/>
              </w:rPr>
              <w:tab/>
            </w:r>
            <w:r w:rsidR="008F7F19" w:rsidRPr="004842C5">
              <w:rPr>
                <w:rStyle w:val="Lienhypertexte"/>
              </w:rPr>
              <w:t>Les budgets annexes industriels &amp; commerciaux</w:t>
            </w:r>
            <w:r w:rsidR="008F7F19">
              <w:rPr>
                <w:webHidden/>
              </w:rPr>
              <w:tab/>
            </w:r>
            <w:r w:rsidR="008F7F19">
              <w:rPr>
                <w:webHidden/>
              </w:rPr>
              <w:fldChar w:fldCharType="begin"/>
            </w:r>
            <w:r w:rsidR="008F7F19">
              <w:rPr>
                <w:webHidden/>
              </w:rPr>
              <w:instrText xml:space="preserve"> PAGEREF _Toc74317365 \h </w:instrText>
            </w:r>
            <w:r w:rsidR="008F7F19">
              <w:rPr>
                <w:webHidden/>
              </w:rPr>
            </w:r>
            <w:r w:rsidR="008F7F19">
              <w:rPr>
                <w:webHidden/>
              </w:rPr>
              <w:fldChar w:fldCharType="separate"/>
            </w:r>
            <w:r w:rsidR="00AA7931">
              <w:rPr>
                <w:webHidden/>
              </w:rPr>
              <w:t>38</w:t>
            </w:r>
            <w:r w:rsidR="008F7F19">
              <w:rPr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66" w:history="1">
            <w:r w:rsidR="008F7F19" w:rsidRPr="004842C5">
              <w:rPr>
                <w:rStyle w:val="Lienhypertexte"/>
                <w:noProof/>
              </w:rPr>
              <w:t>A.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Déchets ménagers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_Toc74317366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38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67" w:history="1">
            <w:r w:rsidR="008F7F19" w:rsidRPr="004842C5">
              <w:rPr>
                <w:rStyle w:val="Lienhypertexte"/>
                <w:noProof/>
              </w:rPr>
              <w:t>1.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L’analyse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_Toc74317367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39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68" w:history="1">
            <w:r w:rsidR="008F7F19" w:rsidRPr="004842C5">
              <w:rPr>
                <w:rStyle w:val="Lienhypertexte"/>
                <w:noProof/>
              </w:rPr>
              <w:t>2.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 résultat 2020 et son affectation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_Toc74317368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40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69" w:history="1">
            <w:r w:rsidR="008F7F19" w:rsidRPr="004842C5">
              <w:rPr>
                <w:rStyle w:val="Lienhypertexte"/>
                <w:noProof/>
              </w:rPr>
              <w:t>B.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Eau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_Toc74317369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41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70" w:history="1">
            <w:r w:rsidR="008F7F19" w:rsidRPr="004842C5">
              <w:rPr>
                <w:rStyle w:val="Lienhypertexte"/>
                <w:noProof/>
              </w:rPr>
              <w:t>1.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L’analyse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_Toc74317370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42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71" w:history="1">
            <w:r w:rsidR="008F7F19" w:rsidRPr="004842C5">
              <w:rPr>
                <w:rStyle w:val="Lienhypertexte"/>
                <w:noProof/>
              </w:rPr>
              <w:t>2.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 résultat 2020 et son affectation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_Toc74317371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43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72" w:history="1">
            <w:r w:rsidR="008F7F19" w:rsidRPr="004842C5">
              <w:rPr>
                <w:rStyle w:val="Lienhypertexte"/>
                <w:noProof/>
              </w:rPr>
              <w:t>C.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Assainissement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_Toc74317372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44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73" w:history="1">
            <w:r w:rsidR="008F7F19" w:rsidRPr="004842C5">
              <w:rPr>
                <w:rStyle w:val="Lienhypertexte"/>
                <w:noProof/>
              </w:rPr>
              <w:t>1.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L’analyse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_Toc74317373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45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74" w:history="1">
            <w:r w:rsidR="008F7F19" w:rsidRPr="004842C5">
              <w:rPr>
                <w:rStyle w:val="Lienhypertexte"/>
                <w:noProof/>
              </w:rPr>
              <w:t>2.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 résultat 2020 et son affectation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_Toc74317374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45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74317375" w:history="1">
            <w:r w:rsidR="008F7F19" w:rsidRPr="004842C5">
              <w:rPr>
                <w:rStyle w:val="Lienhypertexte"/>
                <w:noProof/>
              </w:rPr>
              <w:t>D.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Photovoltaïque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_Toc74317375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46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76" w:history="1">
            <w:r w:rsidR="008F7F19" w:rsidRPr="004842C5">
              <w:rPr>
                <w:rStyle w:val="Lienhypertexte"/>
                <w:noProof/>
              </w:rPr>
              <w:t>1.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L’analyse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_Toc74317376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47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F7F19" w:rsidRDefault="000A1F2F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74317377" w:history="1">
            <w:r w:rsidR="008F7F19" w:rsidRPr="004842C5">
              <w:rPr>
                <w:rStyle w:val="Lienhypertexte"/>
                <w:noProof/>
                <w:lang w:eastAsia="fr-FR"/>
              </w:rPr>
              <w:t>2.</w:t>
            </w:r>
            <w:r w:rsidR="008F7F19">
              <w:rPr>
                <w:rFonts w:eastAsiaTheme="minorEastAsia"/>
                <w:noProof/>
                <w:lang w:eastAsia="fr-FR"/>
              </w:rPr>
              <w:tab/>
            </w:r>
            <w:r w:rsidR="008F7F19" w:rsidRPr="004842C5">
              <w:rPr>
                <w:rStyle w:val="Lienhypertexte"/>
                <w:noProof/>
              </w:rPr>
              <w:t>Le résultat 2020 et son affectation</w:t>
            </w:r>
            <w:r w:rsidR="008F7F19">
              <w:rPr>
                <w:noProof/>
                <w:webHidden/>
              </w:rPr>
              <w:tab/>
            </w:r>
            <w:r w:rsidR="008F7F19">
              <w:rPr>
                <w:noProof/>
                <w:webHidden/>
              </w:rPr>
              <w:fldChar w:fldCharType="begin"/>
            </w:r>
            <w:r w:rsidR="008F7F19">
              <w:rPr>
                <w:noProof/>
                <w:webHidden/>
              </w:rPr>
              <w:instrText xml:space="preserve"> PAGEREF _Toc74317377 \h </w:instrText>
            </w:r>
            <w:r w:rsidR="008F7F19">
              <w:rPr>
                <w:noProof/>
                <w:webHidden/>
              </w:rPr>
            </w:r>
            <w:r w:rsidR="008F7F19">
              <w:rPr>
                <w:noProof/>
                <w:webHidden/>
              </w:rPr>
              <w:fldChar w:fldCharType="separate"/>
            </w:r>
            <w:r w:rsidR="00AA7931">
              <w:rPr>
                <w:noProof/>
                <w:webHidden/>
              </w:rPr>
              <w:t>47</w:t>
            </w:r>
            <w:r w:rsidR="008F7F19">
              <w:rPr>
                <w:noProof/>
                <w:webHidden/>
              </w:rPr>
              <w:fldChar w:fldCharType="end"/>
            </w:r>
          </w:hyperlink>
        </w:p>
        <w:p w:rsidR="0080541E" w:rsidRPr="00A64BBD" w:rsidRDefault="00FE2974" w:rsidP="008A72AC">
          <w:pPr>
            <w:spacing w:after="0" w:line="240" w:lineRule="auto"/>
          </w:pPr>
          <w:r w:rsidRPr="00A64BBD">
            <w:fldChar w:fldCharType="end"/>
          </w:r>
        </w:p>
      </w:sdtContent>
    </w:sdt>
    <w:p w:rsidR="00910AAE" w:rsidRDefault="00910AAE" w:rsidP="00910AAE">
      <w:pPr>
        <w:spacing w:after="0" w:line="240" w:lineRule="auto"/>
      </w:pPr>
    </w:p>
    <w:p w:rsidR="00910AAE" w:rsidRDefault="00910AAE" w:rsidP="00910AAE">
      <w:pPr>
        <w:spacing w:after="0" w:line="240" w:lineRule="auto"/>
      </w:pPr>
    </w:p>
    <w:p w:rsidR="00910AAE" w:rsidRPr="00AB70B2" w:rsidRDefault="00910AAE" w:rsidP="00F773FD">
      <w:pPr>
        <w:jc w:val="both"/>
      </w:pPr>
      <w:r w:rsidRPr="00AB70B2">
        <w:t xml:space="preserve">Ce rapport présente une synthèse des données du compte administratif qui constate les dépenses et les recettes exécutées au cours de l’année 2020. </w:t>
      </w:r>
    </w:p>
    <w:p w:rsidR="00910AAE" w:rsidRPr="00AB70B2" w:rsidRDefault="00910AAE" w:rsidP="00F773FD">
      <w:pPr>
        <w:jc w:val="both"/>
      </w:pPr>
      <w:r w:rsidRPr="00AB70B2">
        <w:t>Pour chaque section, les dépenses et les recettes exécutées en 2020 seront présentées par chapitre en comparaison avec l’année 2019 puis détaillées pour l’année 2020.</w:t>
      </w:r>
    </w:p>
    <w:p w:rsidR="0080541E" w:rsidRPr="00A64BBD" w:rsidRDefault="0080541E">
      <w:pPr>
        <w:spacing w:after="200" w:line="276" w:lineRule="auto"/>
      </w:pPr>
      <w:r w:rsidRPr="00A64BBD">
        <w:br w:type="page"/>
      </w:r>
    </w:p>
    <w:p w:rsidR="009B1F24" w:rsidRDefault="009B1F24" w:rsidP="0080541E">
      <w:pPr>
        <w:pStyle w:val="Titre1"/>
      </w:pPr>
      <w:bookmarkStart w:id="0" w:name="_Toc74317320"/>
      <w:r>
        <w:lastRenderedPageBreak/>
        <w:t>L’impact de la crise sanitaire</w:t>
      </w:r>
      <w:bookmarkEnd w:id="0"/>
    </w:p>
    <w:p w:rsidR="00E0774D" w:rsidRDefault="00E0774D" w:rsidP="00E0774D">
      <w:pPr>
        <w:jc w:val="both"/>
      </w:pPr>
      <w:r>
        <w:t xml:space="preserve">L’exécution du budget 2020 a incontestablement été marquée par la crise sanitaire </w:t>
      </w:r>
      <w:r w:rsidR="00B31460">
        <w:t>et ses conséquences</w:t>
      </w:r>
      <w:r w:rsidR="00B2723B">
        <w:t xml:space="preserve"> que</w:t>
      </w:r>
      <w:r>
        <w:t xml:space="preserve"> la CARO </w:t>
      </w:r>
      <w:r w:rsidR="00B2723B">
        <w:t xml:space="preserve">a pu financer sur les résultats de l’année précédente. </w:t>
      </w:r>
      <w:r>
        <w:t xml:space="preserve">En effet, </w:t>
      </w:r>
      <w:r w:rsidR="00B2723B">
        <w:t>la situation financière au début de l’</w:t>
      </w:r>
      <w:r>
        <w:t xml:space="preserve">exercice 2020 </w:t>
      </w:r>
      <w:r w:rsidR="00B2723B">
        <w:t>était saine et</w:t>
      </w:r>
      <w:r>
        <w:t xml:space="preserve"> lui a permis </w:t>
      </w:r>
      <w:r w:rsidR="00B2723B">
        <w:t>de financer</w:t>
      </w:r>
      <w:r>
        <w:t xml:space="preserve"> les dépenses supplémentaires et les pertes de recettes </w:t>
      </w:r>
      <w:r w:rsidR="00B2723B">
        <w:t>liées à la crise</w:t>
      </w:r>
      <w:r>
        <w:t>.</w:t>
      </w:r>
    </w:p>
    <w:p w:rsidR="00E0774D" w:rsidRDefault="006959D6" w:rsidP="00E0774D">
      <w:pPr>
        <w:jc w:val="both"/>
      </w:pPr>
      <w:r>
        <w:t xml:space="preserve">Toutefois, l’impact </w:t>
      </w:r>
      <w:r w:rsidR="00B2723B">
        <w:t>financier</w:t>
      </w:r>
      <w:r>
        <w:t xml:space="preserve"> de la crise sanitaire </w:t>
      </w:r>
      <w:r w:rsidR="00B2723B">
        <w:t>se poursuivra en 2022 et 2023 du fait de la baisse d</w:t>
      </w:r>
      <w:r>
        <w:t>es ressources fiscales de la CARO liées au tissu économique.</w:t>
      </w:r>
    </w:p>
    <w:p w:rsidR="006959D6" w:rsidRDefault="006959D6" w:rsidP="00E0774D">
      <w:pPr>
        <w:jc w:val="both"/>
      </w:pPr>
    </w:p>
    <w:p w:rsidR="009B1F24" w:rsidRDefault="009B1F24" w:rsidP="009B1F24">
      <w:pPr>
        <w:pStyle w:val="Titre2"/>
      </w:pPr>
      <w:bookmarkStart w:id="1" w:name="_Toc74317321"/>
      <w:r>
        <w:t xml:space="preserve">Les conséquences </w:t>
      </w:r>
      <w:r w:rsidR="00E0774D">
        <w:t>« subies »</w:t>
      </w:r>
      <w:bookmarkEnd w:id="1"/>
    </w:p>
    <w:p w:rsidR="008143DC" w:rsidRDefault="008143DC" w:rsidP="008143DC">
      <w:pPr>
        <w:jc w:val="both"/>
      </w:pPr>
      <w:r>
        <w:t xml:space="preserve">La CARO a subi des pertes directes de recettes engendrées par les confinements et les fermetures des équipements communautaires. </w:t>
      </w:r>
      <w:r w:rsidR="00B2723B">
        <w:t>En revanche les charges de personnel ont été maintenues intégralement sur cette période</w:t>
      </w:r>
      <w:r>
        <w:t xml:space="preserve">, sans que </w:t>
      </w:r>
      <w:r w:rsidR="00B2723B">
        <w:t>la CARO</w:t>
      </w:r>
      <w:r>
        <w:t xml:space="preserve"> ne puisse bénéficier d’aides de l’Etat. </w:t>
      </w:r>
    </w:p>
    <w:p w:rsidR="008143DC" w:rsidRDefault="008143DC" w:rsidP="008143DC">
      <w:pPr>
        <w:jc w:val="both"/>
      </w:pPr>
      <w:r>
        <w:t xml:space="preserve">La crise sanitaire a </w:t>
      </w:r>
      <w:r w:rsidR="00B2723B">
        <w:t>également</w:t>
      </w:r>
      <w:r>
        <w:t xml:space="preserve"> ralenti l’activité touristique entraînant ainsi une diminution des taxes de séjour perçues (-152 K€).</w:t>
      </w:r>
    </w:p>
    <w:p w:rsidR="008143DC" w:rsidRDefault="00B2723B" w:rsidP="008143DC">
      <w:pPr>
        <w:jc w:val="both"/>
      </w:pPr>
      <w:r>
        <w:t>Par ailleurs, p</w:t>
      </w:r>
      <w:r w:rsidR="008143DC">
        <w:t xml:space="preserve">endant les </w:t>
      </w:r>
      <w:r w:rsidR="008143DC" w:rsidRPr="00C26F14">
        <w:t xml:space="preserve">périodes </w:t>
      </w:r>
      <w:proofErr w:type="spellStart"/>
      <w:r w:rsidR="008143DC" w:rsidRPr="00C26F14">
        <w:t>Covid</w:t>
      </w:r>
      <w:proofErr w:type="spellEnd"/>
      <w:r w:rsidR="008143DC" w:rsidRPr="00C26F14">
        <w:t xml:space="preserve"> de l'année 2020, </w:t>
      </w:r>
      <w:r>
        <w:t>le versement mobilité</w:t>
      </w:r>
      <w:r w:rsidR="008143DC">
        <w:t xml:space="preserve"> a diminué</w:t>
      </w:r>
      <w:r w:rsidR="008143DC" w:rsidRPr="00C26F14">
        <w:t xml:space="preserve"> du fait du recours des entreprises aux dispositifs d’activité partielle en période de confinement et postérieurement à celle-ci. </w:t>
      </w:r>
      <w:r w:rsidR="008143DC">
        <w:t>Ainsi, une perte du versement mobilité est constatée par rapport à 2019 (-250K€).</w:t>
      </w:r>
    </w:p>
    <w:p w:rsidR="00C26F14" w:rsidRDefault="00C26F14" w:rsidP="00C26F14">
      <w:pPr>
        <w:jc w:val="both"/>
      </w:pPr>
    </w:p>
    <w:p w:rsidR="009B1F24" w:rsidRDefault="009B1F24" w:rsidP="009B1F24">
      <w:pPr>
        <w:pStyle w:val="Titre2"/>
      </w:pPr>
      <w:bookmarkStart w:id="2" w:name="_Toc74317322"/>
      <w:r>
        <w:t xml:space="preserve">Les mesures </w:t>
      </w:r>
      <w:r w:rsidR="00E0774D">
        <w:t xml:space="preserve">de soutien, </w:t>
      </w:r>
      <w:r>
        <w:t>prises par la CARO</w:t>
      </w:r>
      <w:bookmarkEnd w:id="2"/>
    </w:p>
    <w:p w:rsidR="00F752F1" w:rsidRDefault="00875C6E" w:rsidP="00F773FD">
      <w:pPr>
        <w:jc w:val="both"/>
      </w:pPr>
      <w:r>
        <w:t>Afin d’</w:t>
      </w:r>
      <w:r w:rsidR="00F752F1">
        <w:t xml:space="preserve">accompagner la population et </w:t>
      </w:r>
      <w:r>
        <w:t xml:space="preserve">de soutenir </w:t>
      </w:r>
      <w:r w:rsidR="00F752F1">
        <w:t>le tissu économique local</w:t>
      </w:r>
      <w:r>
        <w:t xml:space="preserve"> dans cette </w:t>
      </w:r>
      <w:r w:rsidR="00B2723B">
        <w:t>crise</w:t>
      </w:r>
      <w:r w:rsidR="00F752F1">
        <w:t>, la CARO a mis en œuvre </w:t>
      </w:r>
      <w:r>
        <w:t xml:space="preserve">de nombreuses mesures </w:t>
      </w:r>
      <w:r w:rsidR="00F752F1">
        <w:t>:</w:t>
      </w:r>
    </w:p>
    <w:p w:rsidR="002F5612" w:rsidRDefault="002F5612" w:rsidP="00074255">
      <w:pPr>
        <w:pStyle w:val="Paragraphedeliste"/>
        <w:numPr>
          <w:ilvl w:val="0"/>
          <w:numId w:val="3"/>
        </w:numPr>
        <w:ind w:left="714" w:hanging="357"/>
        <w:contextualSpacing w:val="0"/>
        <w:jc w:val="both"/>
      </w:pPr>
      <w:r>
        <w:t>un d</w:t>
      </w:r>
      <w:r w:rsidRPr="00060805">
        <w:t>égrèvement des 2/3 du montant de CFE des entreprises relevant du secteur du tourisme, de l’hôtellerie, de la restauration, du sport, de la culture, du transport aérien, de l’évènementiel</w:t>
      </w:r>
      <w:r w:rsidR="00074255">
        <w:t>,</w:t>
      </w:r>
      <w:r>
        <w:t xml:space="preserve"> </w:t>
      </w:r>
      <w:r w:rsidR="00074255">
        <w:t xml:space="preserve">a été voté par le Conseil Communautaire </w:t>
      </w:r>
      <w:r>
        <w:t>au titre de l’année 2020 (17</w:t>
      </w:r>
      <w:r w:rsidR="00940314">
        <w:t>7 K€),</w:t>
      </w:r>
    </w:p>
    <w:p w:rsidR="002F5612" w:rsidRDefault="00F752F1" w:rsidP="00074255">
      <w:pPr>
        <w:pStyle w:val="Paragraphedeliste"/>
        <w:numPr>
          <w:ilvl w:val="0"/>
          <w:numId w:val="3"/>
        </w:numPr>
        <w:ind w:left="714" w:hanging="357"/>
        <w:contextualSpacing w:val="0"/>
        <w:jc w:val="both"/>
      </w:pPr>
      <w:r w:rsidRPr="002F08C6">
        <w:t xml:space="preserve">des avances remboursables </w:t>
      </w:r>
      <w:r w:rsidR="00875C6E">
        <w:t>à destination des</w:t>
      </w:r>
      <w:r w:rsidRPr="00F752F1">
        <w:t xml:space="preserve"> </w:t>
      </w:r>
      <w:r>
        <w:t>Très P</w:t>
      </w:r>
      <w:r w:rsidRPr="00F752F1">
        <w:t xml:space="preserve">etites </w:t>
      </w:r>
      <w:r>
        <w:t>E</w:t>
      </w:r>
      <w:r w:rsidRPr="00F752F1">
        <w:t>ntreprises (TPE</w:t>
      </w:r>
      <w:r>
        <w:t>)</w:t>
      </w:r>
      <w:r w:rsidRPr="002F08C6">
        <w:t xml:space="preserve"> et </w:t>
      </w:r>
      <w:r w:rsidR="00875C6E">
        <w:t>des</w:t>
      </w:r>
      <w:r w:rsidRPr="002F08C6">
        <w:t xml:space="preserve"> associations employeuses d’un montant de 2 000 € à 8 000 €</w:t>
      </w:r>
      <w:r w:rsidR="00074255">
        <w:t xml:space="preserve"> ont été versées</w:t>
      </w:r>
      <w:r w:rsidRPr="002F08C6">
        <w:t>.</w:t>
      </w:r>
      <w:r>
        <w:t xml:space="preserve"> 40 structures en ont bénéficié </w:t>
      </w:r>
      <w:r w:rsidR="00875C6E">
        <w:t xml:space="preserve">en 2020 </w:t>
      </w:r>
      <w:r>
        <w:t>pour un montant total de 244 K€,</w:t>
      </w:r>
      <w:r w:rsidR="006959D6">
        <w:t xml:space="preserve"> ainsi qu’un </w:t>
      </w:r>
      <w:r>
        <w:t>abondement de 127 K</w:t>
      </w:r>
      <w:r w:rsidRPr="00F752F1">
        <w:t xml:space="preserve">€ au fonds de solidarité et de proximité aux TPE constitué </w:t>
      </w:r>
      <w:r w:rsidR="00875C6E">
        <w:t>par</w:t>
      </w:r>
      <w:r w:rsidRPr="00F752F1">
        <w:t xml:space="preserve"> la Région Nouvelle Aquitaine</w:t>
      </w:r>
      <w:r>
        <w:t>,</w:t>
      </w:r>
    </w:p>
    <w:p w:rsidR="00F752F1" w:rsidRPr="0093096C" w:rsidRDefault="00F752F1" w:rsidP="00074255">
      <w:pPr>
        <w:pStyle w:val="Paragraphedeliste"/>
        <w:numPr>
          <w:ilvl w:val="0"/>
          <w:numId w:val="3"/>
        </w:numPr>
        <w:ind w:left="714" w:hanging="357"/>
        <w:contextualSpacing w:val="0"/>
        <w:jc w:val="both"/>
      </w:pPr>
      <w:r w:rsidRPr="0093096C">
        <w:t>des exonérations de loyers et charges</w:t>
      </w:r>
      <w:r w:rsidR="00B2723B">
        <w:t xml:space="preserve"> pour les</w:t>
      </w:r>
      <w:r w:rsidRPr="0093096C">
        <w:t xml:space="preserve"> mois d’avril et mai 2020, pour les entreprises locataires de la CARO en situation économique de péril imminent</w:t>
      </w:r>
      <w:r w:rsidR="00074255">
        <w:t xml:space="preserve"> ont été accordées</w:t>
      </w:r>
      <w:r w:rsidRPr="0093096C">
        <w:t>,</w:t>
      </w:r>
    </w:p>
    <w:p w:rsidR="00F752F1" w:rsidRPr="0093096C" w:rsidRDefault="00074255" w:rsidP="00074255">
      <w:pPr>
        <w:pStyle w:val="Paragraphedeliste"/>
        <w:numPr>
          <w:ilvl w:val="0"/>
          <w:numId w:val="3"/>
        </w:numPr>
        <w:ind w:left="714" w:hanging="357"/>
        <w:contextualSpacing w:val="0"/>
        <w:jc w:val="both"/>
      </w:pPr>
      <w:r>
        <w:t>des</w:t>
      </w:r>
      <w:r w:rsidR="00F752F1" w:rsidRPr="0093096C">
        <w:t xml:space="preserve"> masques </w:t>
      </w:r>
      <w:r>
        <w:t xml:space="preserve">ont été achetés auprès d’une entreprise locale et ont été distribués à </w:t>
      </w:r>
      <w:r w:rsidR="009928D8" w:rsidRPr="0093096C">
        <w:t>la population de la CARO</w:t>
      </w:r>
      <w:r w:rsidR="00B2723B">
        <w:t xml:space="preserve"> (233 K€)</w:t>
      </w:r>
      <w:r w:rsidR="009928D8" w:rsidRPr="0093096C">
        <w:t>,</w:t>
      </w:r>
    </w:p>
    <w:p w:rsidR="00074255" w:rsidRDefault="00074255" w:rsidP="00074255">
      <w:pPr>
        <w:pStyle w:val="Paragraphedeliste"/>
        <w:numPr>
          <w:ilvl w:val="0"/>
          <w:numId w:val="3"/>
        </w:numPr>
        <w:ind w:left="714" w:hanging="357"/>
        <w:contextualSpacing w:val="0"/>
        <w:jc w:val="both"/>
      </w:pPr>
      <w:r>
        <w:t xml:space="preserve">un dégrèvement de la redevance déchets ménagers a été accordé aux professionnels n’ayant pas d’activité pendant le confinement (150 K€), </w:t>
      </w:r>
    </w:p>
    <w:p w:rsidR="00074255" w:rsidRDefault="00074255" w:rsidP="00074255">
      <w:pPr>
        <w:pStyle w:val="Paragraphedeliste"/>
        <w:numPr>
          <w:ilvl w:val="0"/>
          <w:numId w:val="3"/>
        </w:numPr>
        <w:ind w:left="714" w:hanging="357"/>
        <w:contextualSpacing w:val="0"/>
        <w:jc w:val="both"/>
      </w:pPr>
      <w:r w:rsidRPr="0093096C">
        <w:lastRenderedPageBreak/>
        <w:t>les t</w:t>
      </w:r>
      <w:r w:rsidRPr="00AB70B2">
        <w:t xml:space="preserve">arifs </w:t>
      </w:r>
      <w:r>
        <w:t>de l’</w:t>
      </w:r>
      <w:r w:rsidRPr="00AB70B2">
        <w:t xml:space="preserve">année scolaire 2020/2021 pour le conservatoire de musique et de danse </w:t>
      </w:r>
      <w:r>
        <w:t>ont été</w:t>
      </w:r>
      <w:r w:rsidRPr="00AB70B2">
        <w:t xml:space="preserve"> aménag</w:t>
      </w:r>
      <w:r>
        <w:t>és</w:t>
      </w:r>
      <w:r w:rsidRPr="00AB70B2">
        <w:t xml:space="preserve"> exceptionnel</w:t>
      </w:r>
      <w:r>
        <w:t>lement, afin de ne pas pénaliser les usagers,</w:t>
      </w:r>
    </w:p>
    <w:p w:rsidR="008143DC" w:rsidRDefault="006959D6" w:rsidP="008143DC">
      <w:pPr>
        <w:pStyle w:val="Paragraphedeliste"/>
        <w:numPr>
          <w:ilvl w:val="0"/>
          <w:numId w:val="3"/>
        </w:numPr>
        <w:contextualSpacing w:val="0"/>
        <w:jc w:val="both"/>
      </w:pPr>
      <w:r>
        <w:t>l</w:t>
      </w:r>
      <w:r w:rsidR="008143DC" w:rsidRPr="0093096C">
        <w:t>’accès à la culture a été assuré grâce à l’ouverture gratuite au grand public des services en ligne du réseau de lecture ou aux cours en lig</w:t>
      </w:r>
      <w:r w:rsidR="008143DC">
        <w:t>ne assurés par le conservatoire,</w:t>
      </w:r>
    </w:p>
    <w:p w:rsidR="009928D8" w:rsidRPr="0093096C" w:rsidRDefault="00E611B1" w:rsidP="00074255">
      <w:pPr>
        <w:pStyle w:val="Paragraphedeliste"/>
        <w:numPr>
          <w:ilvl w:val="0"/>
          <w:numId w:val="3"/>
        </w:numPr>
        <w:ind w:left="714" w:hanging="357"/>
        <w:contextualSpacing w:val="0"/>
        <w:jc w:val="both"/>
      </w:pPr>
      <w:r w:rsidRPr="0093096C">
        <w:t xml:space="preserve">un drive fermier </w:t>
      </w:r>
      <w:r w:rsidR="00074255">
        <w:t xml:space="preserve">a été créé </w:t>
      </w:r>
      <w:r w:rsidRPr="0093096C">
        <w:t>pour soutenir l’agriculture locale</w:t>
      </w:r>
      <w:r w:rsidR="008143DC">
        <w:t xml:space="preserve"> et une application « click and </w:t>
      </w:r>
      <w:proofErr w:type="spellStart"/>
      <w:r w:rsidR="008143DC">
        <w:t>collect</w:t>
      </w:r>
      <w:proofErr w:type="spellEnd"/>
      <w:r w:rsidR="008143DC">
        <w:t> » destinée aux commerces de la CARO a été imaginée</w:t>
      </w:r>
      <w:r w:rsidR="00B31460">
        <w:t>,</w:t>
      </w:r>
    </w:p>
    <w:p w:rsidR="00E611B1" w:rsidRDefault="00074255" w:rsidP="00074255">
      <w:pPr>
        <w:pStyle w:val="Paragraphedeliste"/>
        <w:numPr>
          <w:ilvl w:val="0"/>
          <w:numId w:val="3"/>
        </w:numPr>
        <w:ind w:left="714" w:hanging="357"/>
        <w:contextualSpacing w:val="0"/>
        <w:jc w:val="both"/>
      </w:pPr>
      <w:r>
        <w:t>les subventions aux associations locales ont été maintenues malgré l’annulation ou le report des animations et des projets en 2020,</w:t>
      </w:r>
    </w:p>
    <w:p w:rsidR="00B31460" w:rsidRDefault="00B31460" w:rsidP="00B31460">
      <w:pPr>
        <w:pStyle w:val="Paragraphedeliste"/>
        <w:numPr>
          <w:ilvl w:val="0"/>
          <w:numId w:val="3"/>
        </w:numPr>
        <w:contextualSpacing w:val="0"/>
        <w:jc w:val="both"/>
      </w:pPr>
      <w:r>
        <w:t>des subventions exceptionnelles ont été versées aux budgets annexes subissant</w:t>
      </w:r>
      <w:r w:rsidR="00FF25CC">
        <w:t xml:space="preserve"> les effets de</w:t>
      </w:r>
      <w:r>
        <w:t xml:space="preserve"> la crise (Déchets ménagers, Tourisme</w:t>
      </w:r>
      <w:r w:rsidRPr="00693BDD">
        <w:t xml:space="preserve"> </w:t>
      </w:r>
      <w:r>
        <w:t>et Activités Economiques),</w:t>
      </w:r>
    </w:p>
    <w:p w:rsidR="00E611B1" w:rsidRDefault="002C45F3" w:rsidP="0093096C">
      <w:pPr>
        <w:jc w:val="both"/>
      </w:pPr>
      <w:r w:rsidRPr="0093096C">
        <w:t xml:space="preserve">Parallèlement, à ces décisions, </w:t>
      </w:r>
      <w:r w:rsidR="00074255">
        <w:t xml:space="preserve">la CARO a mis en place </w:t>
      </w:r>
      <w:r w:rsidR="00B2723B">
        <w:t xml:space="preserve">une maison </w:t>
      </w:r>
      <w:proofErr w:type="spellStart"/>
      <w:r w:rsidR="00B2723B">
        <w:t>Covid</w:t>
      </w:r>
      <w:proofErr w:type="spellEnd"/>
      <w:r w:rsidR="00B2723B">
        <w:t xml:space="preserve"> puis </w:t>
      </w:r>
      <w:r w:rsidRPr="0093096C">
        <w:t>u</w:t>
      </w:r>
      <w:r w:rsidR="00E611B1" w:rsidRPr="0093096C">
        <w:t>n centre de dépistage en partenariat avec l’ARS Nouvelle-Aquitaine et des professionnels de santé.</w:t>
      </w:r>
      <w:r w:rsidRPr="0093096C">
        <w:t xml:space="preserve"> </w:t>
      </w:r>
    </w:p>
    <w:p w:rsidR="008143DC" w:rsidRPr="0093096C" w:rsidRDefault="008143DC" w:rsidP="0093096C">
      <w:pPr>
        <w:jc w:val="both"/>
      </w:pPr>
    </w:p>
    <w:p w:rsidR="00174811" w:rsidRDefault="00CF6595" w:rsidP="00CF6595">
      <w:pPr>
        <w:pStyle w:val="Titre2"/>
      </w:pPr>
      <w:bookmarkStart w:id="3" w:name="_Toc74317323"/>
      <w:r>
        <w:t>Le financement des effets de la crise</w:t>
      </w:r>
      <w:bookmarkEnd w:id="3"/>
    </w:p>
    <w:p w:rsidR="002C45F3" w:rsidRDefault="002F5612" w:rsidP="0093096C">
      <w:pPr>
        <w:jc w:val="both"/>
      </w:pPr>
      <w:r>
        <w:t>L’Etat a financé une partie des mesures prises par la CARO :</w:t>
      </w:r>
    </w:p>
    <w:p w:rsidR="002F5612" w:rsidRDefault="00F942E8" w:rsidP="002F5612">
      <w:pPr>
        <w:pStyle w:val="Paragraphedeliste"/>
        <w:numPr>
          <w:ilvl w:val="0"/>
          <w:numId w:val="3"/>
        </w:numPr>
        <w:jc w:val="both"/>
      </w:pPr>
      <w:r>
        <w:t>Le d</w:t>
      </w:r>
      <w:r w:rsidR="002F5612">
        <w:t>égrèvement de CFE</w:t>
      </w:r>
      <w:r>
        <w:t xml:space="preserve"> approuvé par le Conseil Communautaire a été financé pour 50%. Ainsi</w:t>
      </w:r>
      <w:r w:rsidR="003A4451">
        <w:t xml:space="preserve">, l’impact budgétaire s’est élevé à </w:t>
      </w:r>
      <w:r w:rsidR="00E04F2C">
        <w:t>88</w:t>
      </w:r>
      <w:r w:rsidR="002F5612">
        <w:t xml:space="preserve"> K€</w:t>
      </w:r>
      <w:r w:rsidR="003A4451">
        <w:t>.</w:t>
      </w:r>
    </w:p>
    <w:p w:rsidR="002F5612" w:rsidRDefault="00F942E8" w:rsidP="002F5612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Un soutien financier des collectivités locales qui achètent des masques grand public en prenant en charge 50% du coût des masques dans la limite d’un prix de référence (</w:t>
      </w:r>
      <w:r w:rsidRPr="00A34284">
        <w:t xml:space="preserve">2 </w:t>
      </w:r>
      <w:r>
        <w:t>€</w:t>
      </w:r>
      <w:r w:rsidRPr="00A34284">
        <w:t xml:space="preserve"> </w:t>
      </w:r>
      <w:r>
        <w:t>/</w:t>
      </w:r>
      <w:r w:rsidRPr="00A34284">
        <w:t xml:space="preserve"> masque lavable</w:t>
      </w:r>
      <w:r>
        <w:t xml:space="preserve">). Une participation de </w:t>
      </w:r>
      <w:r w:rsidR="002F5612">
        <w:t>65 K€</w:t>
      </w:r>
      <w:r>
        <w:t xml:space="preserve"> a été attribuée</w:t>
      </w:r>
      <w:r w:rsidR="00F12FF7">
        <w:t xml:space="preserve"> sur les 233K€ dépensés</w:t>
      </w:r>
      <w:r>
        <w:t>.</w:t>
      </w:r>
    </w:p>
    <w:p w:rsidR="00F942E8" w:rsidRDefault="00F942E8" w:rsidP="00F942E8">
      <w:pPr>
        <w:pStyle w:val="Paragraphedeliste"/>
        <w:spacing w:after="0" w:line="240" w:lineRule="auto"/>
        <w:jc w:val="both"/>
      </w:pPr>
    </w:p>
    <w:p w:rsidR="00845770" w:rsidRDefault="00845770" w:rsidP="00845770">
      <w:pPr>
        <w:jc w:val="both"/>
      </w:pPr>
      <w:r>
        <w:t>Enfin malgré l’annonce du Gouvernement sur la mise en œuvre de compensations des pertes de ressources fiscales et domaniales, la CARO n’a pas été bénéficiaire de ce dispositif.</w:t>
      </w:r>
    </w:p>
    <w:p w:rsidR="00845770" w:rsidRDefault="00845770" w:rsidP="00845770">
      <w:pPr>
        <w:jc w:val="both"/>
      </w:pPr>
      <w:r>
        <w:t xml:space="preserve">En effet, </w:t>
      </w:r>
      <w:r w:rsidRPr="0000312F">
        <w:t xml:space="preserve">cette mesure devait </w:t>
      </w:r>
      <w:r>
        <w:t xml:space="preserve">initialement </w:t>
      </w:r>
      <w:r w:rsidRPr="0000312F">
        <w:t>concerner</w:t>
      </w:r>
      <w:r>
        <w:t xml:space="preserve"> </w:t>
      </w:r>
      <w:r w:rsidRPr="0000312F">
        <w:t>entre «</w:t>
      </w:r>
      <w:r>
        <w:t> </w:t>
      </w:r>
      <w:r w:rsidRPr="0000312F">
        <w:t>12</w:t>
      </w:r>
      <w:r>
        <w:t> </w:t>
      </w:r>
      <w:r w:rsidRPr="0000312F">
        <w:t>000 et 13</w:t>
      </w:r>
      <w:r>
        <w:t> </w:t>
      </w:r>
      <w:r w:rsidRPr="0000312F">
        <w:t>000 c</w:t>
      </w:r>
      <w:r>
        <w:t>ollectivités du bloc communal »</w:t>
      </w:r>
      <w:r w:rsidRPr="0000312F">
        <w:t>.</w:t>
      </w:r>
      <w:r>
        <w:t xml:space="preserve"> Les modalités d’attribution ont été calculées en référence à la moyenne des produits fiscaux et domaniaux perçus entre 2017 et 2019. Les recettes perçues en 2020 ont été supérieures à cette moyenne de la période, la collectivité n’a donc pas été éligible à cette compensation.</w:t>
      </w:r>
    </w:p>
    <w:p w:rsidR="00845770" w:rsidRDefault="00845770" w:rsidP="00845770">
      <w:pPr>
        <w:shd w:val="clear" w:color="auto" w:fill="FFFFFF"/>
        <w:jc w:val="both"/>
      </w:pPr>
      <w:r>
        <w:t xml:space="preserve">Finalement, </w:t>
      </w:r>
      <w:r w:rsidRPr="005B1809">
        <w:t>seules 2</w:t>
      </w:r>
      <w:r>
        <w:t xml:space="preserve"> </w:t>
      </w:r>
      <w:r w:rsidRPr="005B1809">
        <w:t xml:space="preserve">500 </w:t>
      </w:r>
      <w:r>
        <w:t>collectivités</w:t>
      </w:r>
      <w:r w:rsidRPr="005B1809">
        <w:t xml:space="preserve"> </w:t>
      </w:r>
      <w:r>
        <w:t>ont pu être compensées de leurs pertes de ressources grâce à</w:t>
      </w:r>
      <w:r w:rsidRPr="005B1809">
        <w:t xml:space="preserve"> </w:t>
      </w:r>
      <w:r>
        <w:t>ce dispositif de compensation.</w:t>
      </w:r>
    </w:p>
    <w:p w:rsidR="00845770" w:rsidRDefault="00845770" w:rsidP="006959D6">
      <w:pPr>
        <w:jc w:val="both"/>
      </w:pPr>
    </w:p>
    <w:p w:rsidR="00B2723B" w:rsidRDefault="00B2723B" w:rsidP="006959D6">
      <w:pPr>
        <w:jc w:val="both"/>
      </w:pPr>
      <w:r>
        <w:br w:type="page"/>
      </w:r>
    </w:p>
    <w:p w:rsidR="00845770" w:rsidRDefault="00845770" w:rsidP="006959D6">
      <w:pPr>
        <w:jc w:val="both"/>
      </w:pPr>
      <w:r>
        <w:lastRenderedPageBreak/>
        <w:t xml:space="preserve">En synthèse, la crise sanitaire a donc pesé </w:t>
      </w:r>
      <w:r w:rsidR="00A3125F">
        <w:t xml:space="preserve">1,3 M€ </w:t>
      </w:r>
      <w:r>
        <w:t>sur le budget CARO :</w:t>
      </w:r>
    </w:p>
    <w:tbl>
      <w:tblPr>
        <w:tblW w:w="1085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31"/>
        <w:gridCol w:w="1308"/>
        <w:gridCol w:w="1308"/>
        <w:gridCol w:w="1371"/>
        <w:gridCol w:w="1338"/>
      </w:tblGrid>
      <w:tr w:rsidR="00845770" w:rsidRPr="00845770" w:rsidTr="00845770">
        <w:trPr>
          <w:trHeight w:val="426"/>
          <w:jc w:val="center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130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both"/>
            </w:pPr>
            <w:r w:rsidRPr="00845770">
              <w:rPr>
                <w:b/>
                <w:bCs/>
              </w:rPr>
              <w:t>Pertes de recettes entre 2019 et 2020 :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</w:pPr>
            <w:r w:rsidRPr="00845770">
              <w:rPr>
                <w:b/>
                <w:bCs/>
              </w:rPr>
              <w:t>CA 2019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</w:pPr>
            <w:r w:rsidRPr="00845770">
              <w:rPr>
                <w:b/>
                <w:bCs/>
              </w:rPr>
              <w:t>CA 2020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</w:pPr>
            <w:r w:rsidRPr="00845770">
              <w:rPr>
                <w:b/>
                <w:bCs/>
              </w:rPr>
              <w:t>Perte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</w:pPr>
            <w:r w:rsidRPr="00845770">
              <w:rPr>
                <w:b/>
                <w:bCs/>
              </w:rPr>
              <w:t>Estimation 2021</w:t>
            </w: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47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160" w:hanging="141"/>
              <w:jc w:val="both"/>
            </w:pPr>
            <w:r w:rsidRPr="00845770">
              <w:t>Versement mobilité :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3 353K€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3 103K€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-250K€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2 900 K€</w:t>
            </w: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47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160" w:hanging="141"/>
              <w:jc w:val="both"/>
            </w:pPr>
            <w:r w:rsidRPr="00845770">
              <w:t>Taxes de séjour :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694K€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542K€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-152K€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640K€</w:t>
            </w: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47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160" w:hanging="141"/>
              <w:jc w:val="both"/>
            </w:pPr>
            <w:r w:rsidRPr="00845770">
              <w:t xml:space="preserve">Redevance Déchets ménagers (dégrèvements) :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8 230K€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8 112K€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-118K€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8 520K€</w:t>
            </w: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47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60" w:hanging="141"/>
              <w:jc w:val="both"/>
            </w:pPr>
            <w:r w:rsidRPr="00845770">
              <w:t>CFE (dégrèvements) :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89K€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-89K€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47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pStyle w:val="Paragraphedeliste"/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60" w:hanging="160"/>
              <w:jc w:val="both"/>
            </w:pPr>
            <w:r w:rsidRPr="00845770">
              <w:t>Loyers économiques (exonérations) :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64K€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27K€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-27K€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47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60" w:hanging="141"/>
              <w:jc w:val="both"/>
            </w:pPr>
            <w:r w:rsidRPr="00845770">
              <w:t>Actions culturelles (conservatoire, médiathèques…) :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119K€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105K€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-14K€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102K€</w:t>
            </w: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5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347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both"/>
            </w:pP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rPr>
                <w:b/>
                <w:bCs/>
              </w:rPr>
              <w:t>-650K€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130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both"/>
            </w:pPr>
            <w:r w:rsidRPr="00845770">
              <w:rPr>
                <w:b/>
                <w:bCs/>
              </w:rPr>
              <w:t>Dépenses complémentaires :</w:t>
            </w:r>
          </w:p>
        </w:tc>
        <w:tc>
          <w:tcPr>
            <w:tcW w:w="39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130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both"/>
            </w:pP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130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both"/>
            </w:pP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8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47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60" w:hanging="141"/>
              <w:jc w:val="both"/>
            </w:pPr>
            <w:r w:rsidRPr="00845770">
              <w:t>Achats de masques distribués à la population (déduction faite des aides d’Etat)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-267K€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8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47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60" w:hanging="141"/>
              <w:jc w:val="both"/>
            </w:pPr>
            <w:r w:rsidRPr="00845770">
              <w:t xml:space="preserve">Avances remboursables aux TPE :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-244K€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-300K€</w:t>
            </w: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8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47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60" w:hanging="141"/>
              <w:jc w:val="both"/>
            </w:pPr>
            <w:r w:rsidRPr="00845770">
              <w:t>Fonds de solidarité Régional aux TPE 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-127K€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8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47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60" w:hanging="141"/>
              <w:jc w:val="both"/>
            </w:pPr>
            <w:r w:rsidRPr="00845770">
              <w:t>Subventions aux associations (</w:t>
            </w:r>
            <w:proofErr w:type="spellStart"/>
            <w:r w:rsidRPr="00845770">
              <w:t>AdM</w:t>
            </w:r>
            <w:proofErr w:type="spellEnd"/>
            <w:r w:rsidRPr="00845770">
              <w:t>) 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-100K€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5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347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both"/>
            </w:pP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both"/>
            </w:pP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both"/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rPr>
                <w:b/>
                <w:bCs/>
              </w:rPr>
              <w:t>-738K€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130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both"/>
            </w:pPr>
            <w:r w:rsidRPr="00845770">
              <w:rPr>
                <w:b/>
                <w:bCs/>
              </w:rPr>
              <w:t>Economies réalisées sur certaines dépenses en 2020 :</w:t>
            </w:r>
          </w:p>
        </w:tc>
        <w:tc>
          <w:tcPr>
            <w:tcW w:w="39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both"/>
            </w:pP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both"/>
            </w:pP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47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60" w:hanging="141"/>
              <w:jc w:val="both"/>
            </w:pPr>
            <w:r w:rsidRPr="00845770">
              <w:t>Activités nautiques scolaires :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130K€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87K€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+43K€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47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60" w:hanging="141"/>
              <w:jc w:val="both"/>
            </w:pPr>
            <w:r w:rsidRPr="00845770">
              <w:t xml:space="preserve">-Actions culturelles (conservatoire, </w:t>
            </w:r>
            <w:proofErr w:type="spellStart"/>
            <w:r w:rsidRPr="00845770">
              <w:t>théatre</w:t>
            </w:r>
            <w:proofErr w:type="spellEnd"/>
            <w:r w:rsidRPr="00845770">
              <w:t>…) :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112K€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87K€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t>+25K€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5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347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both"/>
            </w:pP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rPr>
                <w:b/>
                <w:bCs/>
              </w:rPr>
              <w:t>+69K€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</w:p>
        </w:tc>
      </w:tr>
      <w:tr w:rsidR="00845770" w:rsidRPr="00845770" w:rsidTr="00845770">
        <w:trPr>
          <w:trHeight w:val="426"/>
          <w:jc w:val="center"/>
        </w:trPr>
        <w:tc>
          <w:tcPr>
            <w:tcW w:w="8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130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both"/>
            </w:pPr>
            <w:r w:rsidRPr="00845770">
              <w:rPr>
                <w:b/>
                <w:bCs/>
                <w:u w:val="single"/>
              </w:rPr>
              <w:t>Coût pour la CARO (tous budgets confondus)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</w:pPr>
            <w:r w:rsidRPr="00845770">
              <w:rPr>
                <w:b/>
                <w:bCs/>
                <w:u w:val="single"/>
              </w:rPr>
              <w:t>-1 319K€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both"/>
            </w:pPr>
          </w:p>
        </w:tc>
      </w:tr>
    </w:tbl>
    <w:p w:rsidR="00845770" w:rsidRDefault="00845770" w:rsidP="006959D6">
      <w:pPr>
        <w:jc w:val="both"/>
      </w:pPr>
    </w:p>
    <w:p w:rsidR="00845770" w:rsidRPr="00845770" w:rsidRDefault="00845770" w:rsidP="00845770">
      <w:pPr>
        <w:jc w:val="both"/>
      </w:pPr>
      <w:r>
        <w:br w:type="page"/>
      </w:r>
    </w:p>
    <w:p w:rsidR="00E37291" w:rsidRDefault="0080541E" w:rsidP="0080541E">
      <w:pPr>
        <w:pStyle w:val="Titre1"/>
      </w:pPr>
      <w:bookmarkStart w:id="4" w:name="_Toc74317324"/>
      <w:r>
        <w:lastRenderedPageBreak/>
        <w:t>Le budget principal</w:t>
      </w:r>
      <w:bookmarkEnd w:id="4"/>
    </w:p>
    <w:p w:rsidR="0080541E" w:rsidRDefault="0080541E" w:rsidP="0080541E">
      <w:pPr>
        <w:pStyle w:val="Titre2"/>
      </w:pPr>
      <w:bookmarkStart w:id="5" w:name="_Toc74317325"/>
      <w:r>
        <w:t>Les recettes de fonctionnement</w:t>
      </w:r>
      <w:r w:rsidR="00333120">
        <w:t xml:space="preserve"> (</w:t>
      </w:r>
      <w:r w:rsidR="000655E8">
        <w:t>34,5</w:t>
      </w:r>
      <w:r w:rsidR="00333120">
        <w:t xml:space="preserve"> M€)</w:t>
      </w:r>
      <w:bookmarkEnd w:id="5"/>
    </w:p>
    <w:tbl>
      <w:tblPr>
        <w:tblW w:w="1102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377"/>
        <w:gridCol w:w="1340"/>
        <w:gridCol w:w="1340"/>
        <w:gridCol w:w="1340"/>
        <w:gridCol w:w="1291"/>
        <w:gridCol w:w="864"/>
      </w:tblGrid>
      <w:tr w:rsidR="000655E8" w:rsidRPr="000655E8" w:rsidTr="00EF6630">
        <w:trPr>
          <w:trHeight w:val="255"/>
          <w:jc w:val="center"/>
        </w:trPr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655E8" w:rsidRPr="00D34FBD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fr-FR"/>
              </w:rPr>
            </w:pPr>
            <w:r w:rsidRPr="00D34FBD">
              <w:rPr>
                <w:rFonts w:eastAsia="Times New Roman" w:cstheme="minorHAnsi"/>
                <w:bCs/>
                <w:lang w:eastAsia="fr-FR"/>
              </w:rPr>
              <w:t>Chapitre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655E8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655E8">
              <w:rPr>
                <w:rFonts w:eastAsia="Times New Roman" w:cstheme="minorHAnsi"/>
                <w:b/>
                <w:bCs/>
                <w:lang w:eastAsia="fr-FR"/>
              </w:rPr>
              <w:t>BUDGETE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655E8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0655E8" w:rsidRDefault="00801553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>EVOLUTION</w:t>
            </w:r>
          </w:p>
        </w:tc>
      </w:tr>
      <w:tr w:rsidR="000655E8" w:rsidRPr="000655E8" w:rsidTr="00EF6630">
        <w:trPr>
          <w:trHeight w:val="255"/>
          <w:jc w:val="center"/>
        </w:trPr>
        <w:tc>
          <w:tcPr>
            <w:tcW w:w="4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655E8">
              <w:rPr>
                <w:rFonts w:eastAsia="Times New Roman" w:cstheme="minorHAnsi"/>
                <w:b/>
                <w:bCs/>
                <w:lang w:eastAsia="fr-F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655E8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655E8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655E8">
              <w:rPr>
                <w:rFonts w:eastAsia="Times New Roman" w:cstheme="minorHAnsi"/>
                <w:b/>
                <w:bCs/>
                <w:lang w:eastAsia="fr-FR"/>
              </w:rPr>
              <w:t>2020-2019</w:t>
            </w:r>
          </w:p>
        </w:tc>
      </w:tr>
      <w:tr w:rsidR="000655E8" w:rsidRPr="000655E8" w:rsidTr="000655E8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002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34676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Résultat report</w:t>
            </w:r>
            <w:r w:rsidR="00346768" w:rsidRPr="00D34FBD">
              <w:rPr>
                <w:rFonts w:eastAsia="Times New Roman" w:cstheme="minorHAnsi"/>
                <w:lang w:eastAsia="fr-FR"/>
              </w:rPr>
              <w:t>é</w:t>
            </w:r>
            <w:r w:rsidRPr="00D34FBD">
              <w:rPr>
                <w:rFonts w:eastAsia="Times New Roman" w:cstheme="minorHAnsi"/>
                <w:lang w:eastAsia="fr-FR"/>
              </w:rPr>
              <w:t xml:space="preserve"> de fonctionnement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2 524 613 €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2 170 211 €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2 170 211 €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-354 402 €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-14,0%</w:t>
            </w:r>
          </w:p>
        </w:tc>
      </w:tr>
      <w:tr w:rsidR="000655E8" w:rsidRPr="000655E8" w:rsidTr="000655E8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013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Atténuations de charges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324 312 €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166 674 €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206 481 €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-117 830 €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-36,3%</w:t>
            </w:r>
          </w:p>
        </w:tc>
      </w:tr>
      <w:tr w:rsidR="000655E8" w:rsidRPr="000655E8" w:rsidTr="000655E8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042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Opérations d'ordre de transfert entre sections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136 145 €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253 919 €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203 919 €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67 774 €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49,8%</w:t>
            </w:r>
          </w:p>
        </w:tc>
      </w:tr>
      <w:tr w:rsidR="000655E8" w:rsidRPr="000655E8" w:rsidTr="000655E8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70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Produits des 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793 158 €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1 305 275 €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1 398 170 €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605 012 €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76,3%</w:t>
            </w:r>
          </w:p>
        </w:tc>
      </w:tr>
      <w:tr w:rsidR="000655E8" w:rsidRPr="000655E8" w:rsidTr="000655E8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73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Impôts et taxes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21 102 148 €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22 486 048 €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22 955 306 €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1 853 158 €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8,8%</w:t>
            </w:r>
          </w:p>
        </w:tc>
      </w:tr>
      <w:tr w:rsidR="000655E8" w:rsidRPr="000655E8" w:rsidTr="000655E8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74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Dotations, subventions et participations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6 584 095 €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7 620 479 €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6 926 155 €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342 060 €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5,2%</w:t>
            </w:r>
          </w:p>
        </w:tc>
      </w:tr>
      <w:tr w:rsidR="000655E8" w:rsidRPr="000655E8" w:rsidTr="000655E8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75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Autres produits de gestion courante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405 332 €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453 222 €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466 986 €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61 654 €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15,2%</w:t>
            </w:r>
          </w:p>
        </w:tc>
      </w:tr>
      <w:tr w:rsidR="000655E8" w:rsidRPr="000655E8" w:rsidTr="000655E8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77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Produits exceptionnels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188 474 €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168 149 €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176 310 €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-12 164 €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-6,5%</w:t>
            </w:r>
          </w:p>
        </w:tc>
      </w:tr>
      <w:tr w:rsidR="000655E8" w:rsidRPr="00EF6630" w:rsidTr="00E16E33">
        <w:trPr>
          <w:trHeight w:val="25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D34FBD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34FBD">
              <w:rPr>
                <w:rFonts w:eastAsia="Times New Roman" w:cstheme="minorHAnsi"/>
                <w:lang w:eastAsia="fr-FR"/>
              </w:rPr>
              <w:t>Total Recettes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32 058 277 €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34 623 977 €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34 503 538 €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2 445 261 €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7,6%</w:t>
            </w:r>
          </w:p>
        </w:tc>
      </w:tr>
    </w:tbl>
    <w:p w:rsidR="0080541E" w:rsidRDefault="0080541E" w:rsidP="0080541E">
      <w:pPr>
        <w:spacing w:after="0" w:line="240" w:lineRule="auto"/>
      </w:pPr>
    </w:p>
    <w:p w:rsidR="00582707" w:rsidRDefault="00582707" w:rsidP="0080541E">
      <w:pPr>
        <w:spacing w:after="0" w:line="240" w:lineRule="auto"/>
      </w:pPr>
    </w:p>
    <w:p w:rsidR="00582707" w:rsidRDefault="00582707" w:rsidP="0080541E">
      <w:pPr>
        <w:spacing w:after="0" w:line="240" w:lineRule="auto"/>
      </w:pPr>
    </w:p>
    <w:p w:rsidR="00E630B4" w:rsidRDefault="00E630B4" w:rsidP="00875C2B">
      <w:pPr>
        <w:pStyle w:val="Titre3"/>
      </w:pPr>
      <w:bookmarkStart w:id="6" w:name="_Toc74317326"/>
      <w:r>
        <w:t>Chapitre 013 – les atténuations de charges</w:t>
      </w:r>
      <w:r w:rsidR="00333120">
        <w:t xml:space="preserve"> (0,</w:t>
      </w:r>
      <w:r w:rsidR="00E16E33">
        <w:t>21</w:t>
      </w:r>
      <w:r w:rsidR="00333120">
        <w:t xml:space="preserve"> M€)</w:t>
      </w:r>
      <w:bookmarkEnd w:id="6"/>
    </w:p>
    <w:p w:rsidR="00E76DDF" w:rsidRDefault="002629DE" w:rsidP="0093096C">
      <w:pPr>
        <w:jc w:val="both"/>
      </w:pPr>
      <w:r w:rsidRPr="00F071FA">
        <w:t xml:space="preserve">Ces recettes correspondent aux indemnités journalières perçues en cas d’absence </w:t>
      </w:r>
      <w:r w:rsidR="00196EB1" w:rsidRPr="00F071FA">
        <w:t>des agents</w:t>
      </w:r>
      <w:r w:rsidR="00333120" w:rsidRPr="00F071FA">
        <w:t xml:space="preserve"> et à la participation des agents </w:t>
      </w:r>
      <w:r w:rsidRPr="00F071FA">
        <w:t>aux tickets restaurants.</w:t>
      </w:r>
      <w:bookmarkStart w:id="7" w:name="_Toc10034199"/>
      <w:bookmarkStart w:id="8" w:name="_Toc10034871"/>
    </w:p>
    <w:p w:rsidR="003B36C6" w:rsidRPr="00B916AB" w:rsidRDefault="003B36C6" w:rsidP="00B916AB">
      <w:pPr>
        <w:shd w:val="clear" w:color="auto" w:fill="FFFFFF"/>
        <w:spacing w:after="0" w:line="240" w:lineRule="auto"/>
        <w:jc w:val="both"/>
      </w:pPr>
      <w:r w:rsidRPr="00B916AB">
        <w:t>La CARO a adhéré au contrat d'assurances risques statutaires porté par le CDG 17 jusqu'au</w:t>
      </w:r>
      <w:r w:rsidR="00B916AB">
        <w:t xml:space="preserve"> </w:t>
      </w:r>
      <w:r w:rsidRPr="00B916AB">
        <w:t>31</w:t>
      </w:r>
      <w:r w:rsidR="00B916AB">
        <w:t xml:space="preserve"> décembre </w:t>
      </w:r>
      <w:r w:rsidRPr="00B916AB">
        <w:t>2019.</w:t>
      </w:r>
    </w:p>
    <w:p w:rsidR="003B36C6" w:rsidRPr="00B916AB" w:rsidRDefault="00B916AB" w:rsidP="00415E78">
      <w:pPr>
        <w:shd w:val="clear" w:color="auto" w:fill="FFFFFF"/>
        <w:spacing w:after="0" w:line="240" w:lineRule="auto"/>
        <w:jc w:val="both"/>
      </w:pPr>
      <w:r>
        <w:t>Depuis le 1</w:t>
      </w:r>
      <w:r w:rsidRPr="00B916AB">
        <w:rPr>
          <w:vertAlign w:val="superscript"/>
        </w:rPr>
        <w:t>er</w:t>
      </w:r>
      <w:r>
        <w:t xml:space="preserve"> janvier </w:t>
      </w:r>
      <w:r w:rsidR="003B36C6" w:rsidRPr="00B916AB">
        <w:t xml:space="preserve">2020, elle a souscrit un nouveau contrat </w:t>
      </w:r>
      <w:r w:rsidR="00415E78">
        <w:t>qui</w:t>
      </w:r>
      <w:r w:rsidR="003B36C6" w:rsidRPr="00B916AB">
        <w:t xml:space="preserve"> ne garantit p</w:t>
      </w:r>
      <w:r>
        <w:t>lus le risque maladie ordinaire</w:t>
      </w:r>
      <w:r w:rsidR="00415E78">
        <w:t xml:space="preserve"> ce qui diminue le montant des indemnités journalières perçues par la CARO.</w:t>
      </w:r>
    </w:p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E630B4" w:rsidRPr="00B40188" w:rsidRDefault="00E630B4" w:rsidP="00875C2B">
      <w:pPr>
        <w:pStyle w:val="Titre3"/>
      </w:pPr>
      <w:bookmarkStart w:id="9" w:name="_Toc74317327"/>
      <w:r w:rsidRPr="00B40188">
        <w:t>Chapitre 70 : les produits des services</w:t>
      </w:r>
      <w:r>
        <w:t xml:space="preserve"> et du</w:t>
      </w:r>
      <w:r w:rsidRPr="00B40188">
        <w:t xml:space="preserve"> domaine</w:t>
      </w:r>
      <w:bookmarkEnd w:id="7"/>
      <w:bookmarkEnd w:id="8"/>
      <w:r w:rsidR="000655E8">
        <w:t xml:space="preserve"> (1,</w:t>
      </w:r>
      <w:r w:rsidR="00E16E33">
        <w:t>4</w:t>
      </w:r>
      <w:r w:rsidR="00333120">
        <w:t xml:space="preserve"> M€)</w:t>
      </w:r>
      <w:bookmarkEnd w:id="9"/>
    </w:p>
    <w:p w:rsidR="00B86BAB" w:rsidRPr="00B86BAB" w:rsidRDefault="00B86BAB" w:rsidP="0093096C">
      <w:pPr>
        <w:jc w:val="both"/>
      </w:pPr>
      <w:r w:rsidRPr="00B86BAB">
        <w:t>La hausse constatée des produits des services et du domaine entre 2019 et 2020 est</w:t>
      </w:r>
      <w:r w:rsidR="00480970">
        <w:t xml:space="preserve"> de 76% (soit +</w:t>
      </w:r>
      <w:r w:rsidRPr="00B86BAB">
        <w:t>605 K€</w:t>
      </w:r>
      <w:r w:rsidR="00480970">
        <w:t>)</w:t>
      </w:r>
      <w:r w:rsidRPr="00B86BAB">
        <w:t xml:space="preserve">. </w:t>
      </w:r>
    </w:p>
    <w:p w:rsidR="00582707" w:rsidRDefault="00B86BAB" w:rsidP="0093096C">
      <w:pPr>
        <w:jc w:val="both"/>
      </w:pPr>
      <w:r w:rsidRPr="00B86BAB">
        <w:t xml:space="preserve">Elle est essentiellement liée </w:t>
      </w:r>
      <w:r w:rsidR="00582707">
        <w:t>à la réouverture du Pont Transbordeur en 2020 :</w:t>
      </w:r>
    </w:p>
    <w:p w:rsidR="00582707" w:rsidRDefault="00582707" w:rsidP="00582707">
      <w:pPr>
        <w:pStyle w:val="Paragraphedeliste"/>
        <w:numPr>
          <w:ilvl w:val="0"/>
          <w:numId w:val="13"/>
        </w:numPr>
        <w:ind w:left="714" w:hanging="357"/>
        <w:contextualSpacing w:val="0"/>
        <w:jc w:val="both"/>
      </w:pPr>
      <w:r>
        <w:t xml:space="preserve">d’une part, le remboursement par la DRAC des dépenses d’entretien du Pont Transbordeur </w:t>
      </w:r>
      <w:r w:rsidR="00EC38D0">
        <w:t>(262K€, c</w:t>
      </w:r>
      <w:r>
        <w:t xml:space="preserve">e montant sera annuellement versé à la CARO afin </w:t>
      </w:r>
      <w:r w:rsidR="00415E78">
        <w:t>qu’elle puisse financer</w:t>
      </w:r>
      <w:r>
        <w:t xml:space="preserve"> toutes les dépenses nécessaires au bon fonctionnement du nouvel équipement rénové par la DRAC</w:t>
      </w:r>
      <w:r w:rsidR="00EC38D0">
        <w:t>),</w:t>
      </w:r>
    </w:p>
    <w:p w:rsidR="00582707" w:rsidRDefault="00EC38D0" w:rsidP="00582707">
      <w:pPr>
        <w:pStyle w:val="Paragraphedeliste"/>
        <w:numPr>
          <w:ilvl w:val="0"/>
          <w:numId w:val="13"/>
        </w:numPr>
        <w:ind w:left="714" w:hanging="357"/>
        <w:contextualSpacing w:val="0"/>
        <w:jc w:val="both"/>
      </w:pPr>
      <w:r>
        <w:t>d</w:t>
      </w:r>
      <w:r w:rsidR="00582707">
        <w:t>’autre part, les recettes d’exploitation du Pont</w:t>
      </w:r>
      <w:r>
        <w:t>,</w:t>
      </w:r>
      <w:r w:rsidR="00582707">
        <w:t xml:space="preserve"> qui a pu fonctionner une partie de l’année </w:t>
      </w:r>
      <w:r>
        <w:t xml:space="preserve">et a engendré des recettes de billetterie </w:t>
      </w:r>
      <w:r w:rsidR="00582707">
        <w:t>pour 132K€</w:t>
      </w:r>
    </w:p>
    <w:p w:rsidR="00B916AB" w:rsidRDefault="00415E78" w:rsidP="0093096C">
      <w:pPr>
        <w:jc w:val="both"/>
      </w:pPr>
      <w:r>
        <w:t xml:space="preserve">Les autres produits </w:t>
      </w:r>
      <w:r w:rsidR="00582707">
        <w:t>concerne</w:t>
      </w:r>
      <w:r>
        <w:t>nt</w:t>
      </w:r>
      <w:r w:rsidR="00582707">
        <w:t xml:space="preserve"> principalement les </w:t>
      </w:r>
      <w:r w:rsidR="00B86BAB" w:rsidRPr="00B86BAB">
        <w:t>remboursements de charges par la Ville de Rochefort dans le cadre de la mutualisation des services</w:t>
      </w:r>
      <w:r w:rsidR="00582707">
        <w:t>. Ces remboursements sont établis annuellement par la Commission Paritaire de Gestion</w:t>
      </w:r>
      <w:r w:rsidR="00B86BAB" w:rsidRPr="00B86BAB">
        <w:t xml:space="preserve">. </w:t>
      </w:r>
    </w:p>
    <w:p w:rsidR="004D36C0" w:rsidRDefault="004D36C0" w:rsidP="0093096C">
      <w:pPr>
        <w:jc w:val="both"/>
      </w:pPr>
      <w:r>
        <w:t>Les liaisons fluviales ont été suspendues pour partie suite à l’ouverture du Pont Transbordeur.</w:t>
      </w:r>
    </w:p>
    <w:p w:rsidR="00B86BAB" w:rsidRDefault="00582707" w:rsidP="0093096C">
      <w:pPr>
        <w:jc w:val="both"/>
      </w:pPr>
      <w:r>
        <w:t>Enfin, s</w:t>
      </w:r>
      <w:r w:rsidR="00B86BAB">
        <w:t xml:space="preserve">uite à la crise sanitaire, les activités culturelles (médiathèque, conservatoire…) </w:t>
      </w:r>
      <w:r w:rsidR="004D36C0">
        <w:t xml:space="preserve">ou </w:t>
      </w:r>
      <w:r w:rsidR="00B86BAB">
        <w:t>sportives (golf) ont été suspendues une partie de l’année</w:t>
      </w:r>
      <w:r w:rsidR="00415E78">
        <w:t xml:space="preserve"> et</w:t>
      </w:r>
      <w:r w:rsidR="00B86BAB">
        <w:t xml:space="preserve"> les recettes </w:t>
      </w:r>
      <w:r w:rsidR="00415E78">
        <w:t xml:space="preserve">correspondantes </w:t>
      </w:r>
      <w:r w:rsidR="00B86BAB">
        <w:t>ont diminué (-</w:t>
      </w:r>
      <w:r w:rsidR="004D36C0">
        <w:t>19</w:t>
      </w:r>
      <w:r w:rsidR="00B86BAB">
        <w:t xml:space="preserve"> K€).</w:t>
      </w:r>
    </w:p>
    <w:p w:rsidR="00AB56C1" w:rsidRPr="00B86BAB" w:rsidRDefault="00AB56C1" w:rsidP="002629DE">
      <w:pPr>
        <w:spacing w:after="0" w:line="240" w:lineRule="auto"/>
        <w:jc w:val="both"/>
      </w:pPr>
    </w:p>
    <w:p w:rsidR="00130B1A" w:rsidRDefault="002629DE" w:rsidP="00E04F2C">
      <w:pPr>
        <w:jc w:val="both"/>
      </w:pPr>
      <w:r w:rsidRPr="00B86BAB">
        <w:t xml:space="preserve">Ces </w:t>
      </w:r>
      <w:r w:rsidR="00E04F2C">
        <w:t>produits</w:t>
      </w:r>
      <w:r w:rsidRPr="00B86BAB">
        <w:t xml:space="preserve"> se répartissent </w:t>
      </w:r>
      <w:r w:rsidR="00582707">
        <w:t xml:space="preserve">par secteur </w:t>
      </w:r>
      <w:r w:rsidRPr="00B86BAB">
        <w:t>comme suit :</w:t>
      </w:r>
    </w:p>
    <w:p w:rsidR="00E630B4" w:rsidRDefault="00A90022" w:rsidP="002629DE">
      <w:pPr>
        <w:spacing w:after="0" w:line="240" w:lineRule="auto"/>
        <w:jc w:val="center"/>
        <w:rPr>
          <w:color w:val="FF0000"/>
        </w:rPr>
      </w:pPr>
      <w:r>
        <w:rPr>
          <w:noProof/>
          <w:lang w:eastAsia="fr-FR"/>
        </w:rPr>
        <w:drawing>
          <wp:inline distT="0" distB="0" distL="0" distR="0" wp14:anchorId="3FB14DF2" wp14:editId="100825E4">
            <wp:extent cx="5029200" cy="3448050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77B0" w:rsidRDefault="00B077B0" w:rsidP="00B077B0">
      <w:pPr>
        <w:spacing w:after="0" w:line="240" w:lineRule="auto"/>
      </w:pPr>
      <w:bookmarkStart w:id="10" w:name="_Toc10034200"/>
      <w:bookmarkStart w:id="11" w:name="_Toc10034872"/>
    </w:p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E630B4" w:rsidRPr="00B40188" w:rsidRDefault="00E630B4" w:rsidP="00875C2B">
      <w:pPr>
        <w:pStyle w:val="Titre3"/>
      </w:pPr>
      <w:bookmarkStart w:id="12" w:name="_Toc74317328"/>
      <w:r w:rsidRPr="00B40188">
        <w:t>Chapitre 73 : les impôts et taxes</w:t>
      </w:r>
      <w:bookmarkEnd w:id="10"/>
      <w:bookmarkEnd w:id="11"/>
      <w:r w:rsidR="00333120">
        <w:t xml:space="preserve"> (</w:t>
      </w:r>
      <w:r w:rsidR="000655E8">
        <w:t>23</w:t>
      </w:r>
      <w:r w:rsidR="00333120">
        <w:t xml:space="preserve"> M€)</w:t>
      </w:r>
      <w:bookmarkEnd w:id="12"/>
    </w:p>
    <w:p w:rsidR="002629DE" w:rsidRDefault="002629DE" w:rsidP="0093096C">
      <w:pPr>
        <w:jc w:val="both"/>
      </w:pPr>
      <w:r w:rsidRPr="00E16E33">
        <w:t xml:space="preserve">Ces recettes augmentent globalement de </w:t>
      </w:r>
      <w:r w:rsidR="00E16E33" w:rsidRPr="00E16E33">
        <w:t>+1 853</w:t>
      </w:r>
      <w:r w:rsidRPr="00E16E33">
        <w:t xml:space="preserve"> K€ entre 201</w:t>
      </w:r>
      <w:r w:rsidR="00E16E33" w:rsidRPr="00E16E33">
        <w:t>9</w:t>
      </w:r>
      <w:r w:rsidRPr="00E16E33">
        <w:t xml:space="preserve"> et 20</w:t>
      </w:r>
      <w:r w:rsidR="00E16E33" w:rsidRPr="00E16E33">
        <w:t>20</w:t>
      </w:r>
      <w:r w:rsidRPr="00E16E33">
        <w:t xml:space="preserve"> </w:t>
      </w:r>
      <w:r w:rsidR="00E04F2C">
        <w:t>en lien avec</w:t>
      </w:r>
      <w:r w:rsidR="00196EB1" w:rsidRPr="00E16E33">
        <w:t xml:space="preserve"> l’</w:t>
      </w:r>
      <w:r w:rsidRPr="00E16E33">
        <w:t>évolution favorable des produits de la fiscalit</w:t>
      </w:r>
      <w:r w:rsidR="00F071FA">
        <w:t>é (+</w:t>
      </w:r>
      <w:r w:rsidR="00E16E33" w:rsidRPr="00E16E33">
        <w:t>9</w:t>
      </w:r>
      <w:r w:rsidR="00EC38D0">
        <w:t>15</w:t>
      </w:r>
      <w:r w:rsidRPr="00E16E33">
        <w:t xml:space="preserve"> K€) et la hausse des attributio</w:t>
      </w:r>
      <w:r w:rsidR="00F071FA">
        <w:t>ns de compensation négatives (+</w:t>
      </w:r>
      <w:r w:rsidR="00E16E33" w:rsidRPr="00E16E33">
        <w:t>830</w:t>
      </w:r>
      <w:r w:rsidRPr="00E16E33">
        <w:t xml:space="preserve"> K€).</w:t>
      </w:r>
    </w:p>
    <w:p w:rsidR="00B077B0" w:rsidRDefault="00B077B0" w:rsidP="00B077B0">
      <w:pPr>
        <w:spacing w:after="0" w:line="240" w:lineRule="auto"/>
      </w:pPr>
    </w:p>
    <w:p w:rsidR="0086148D" w:rsidRDefault="0086148D" w:rsidP="0086148D">
      <w:pPr>
        <w:pStyle w:val="Titre4"/>
      </w:pPr>
      <w:r>
        <w:t>La fiscalité</w:t>
      </w:r>
    </w:p>
    <w:tbl>
      <w:tblPr>
        <w:tblW w:w="1058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628"/>
        <w:gridCol w:w="1620"/>
        <w:gridCol w:w="1580"/>
        <w:gridCol w:w="820"/>
      </w:tblGrid>
      <w:tr w:rsidR="00801553" w:rsidRPr="00BA5B95" w:rsidTr="00801553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801553" w:rsidRPr="00BA5B95" w:rsidRDefault="00801553" w:rsidP="00BA5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01553" w:rsidRPr="00BA5B95" w:rsidRDefault="00801553" w:rsidP="00801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</w:t>
            </w:r>
            <w:r w:rsidRPr="00BA5B9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01553" w:rsidRPr="00BA5B95" w:rsidRDefault="00801553" w:rsidP="00801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CA </w:t>
            </w:r>
            <w:r w:rsidRPr="00BA5B9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01553" w:rsidRPr="00BA5B95" w:rsidRDefault="00801553" w:rsidP="00801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Evol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ution</w:t>
            </w:r>
            <w:r w:rsidRPr="00BA5B9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2019-2020</w:t>
            </w:r>
          </w:p>
        </w:tc>
      </w:tr>
      <w:tr w:rsidR="00BA5B95" w:rsidRPr="00BA5B95" w:rsidTr="00801553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 xml:space="preserve">Taxe </w:t>
            </w:r>
            <w:r>
              <w:rPr>
                <w:rFonts w:ascii="Calibri" w:eastAsia="Times New Roman" w:hAnsi="Calibri" w:cs="Calibri"/>
                <w:lang w:eastAsia="fr-FR"/>
              </w:rPr>
              <w:t>H</w:t>
            </w:r>
            <w:r w:rsidRPr="00BA5B95">
              <w:rPr>
                <w:rFonts w:ascii="Calibri" w:eastAsia="Times New Roman" w:hAnsi="Calibri" w:cs="Calibri"/>
                <w:lang w:eastAsia="fr-FR"/>
              </w:rPr>
              <w:t>abitation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7 824 528 €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7 971 066 €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146 538 €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2%</w:t>
            </w:r>
          </w:p>
        </w:tc>
      </w:tr>
      <w:tr w:rsidR="00BA5B95" w:rsidRPr="00BA5B95" w:rsidTr="00801553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 xml:space="preserve">Contribution </w:t>
            </w:r>
            <w:r>
              <w:rPr>
                <w:rFonts w:ascii="Calibri" w:eastAsia="Times New Roman" w:hAnsi="Calibri" w:cs="Calibri"/>
                <w:lang w:eastAsia="fr-FR"/>
              </w:rPr>
              <w:t>F</w:t>
            </w:r>
            <w:r w:rsidRPr="00BA5B95">
              <w:rPr>
                <w:rFonts w:ascii="Calibri" w:eastAsia="Times New Roman" w:hAnsi="Calibri" w:cs="Calibri"/>
                <w:lang w:eastAsia="fr-FR"/>
              </w:rPr>
              <w:t xml:space="preserve">oncière des </w:t>
            </w:r>
            <w:r>
              <w:rPr>
                <w:rFonts w:ascii="Calibri" w:eastAsia="Times New Roman" w:hAnsi="Calibri" w:cs="Calibri"/>
                <w:lang w:eastAsia="fr-FR"/>
              </w:rPr>
              <w:t>E</w:t>
            </w:r>
            <w:r w:rsidRPr="00BA5B95">
              <w:rPr>
                <w:rFonts w:ascii="Calibri" w:eastAsia="Times New Roman" w:hAnsi="Calibri" w:cs="Calibri"/>
                <w:lang w:eastAsia="fr-FR"/>
              </w:rPr>
              <w:t>ntreprises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5 139 974 €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5 583 105 €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443 131 €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9%</w:t>
            </w:r>
          </w:p>
        </w:tc>
      </w:tr>
      <w:tr w:rsidR="00BA5B95" w:rsidRPr="00BA5B95" w:rsidTr="00801553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 xml:space="preserve">Cotisation sur </w:t>
            </w:r>
            <w:r>
              <w:rPr>
                <w:rFonts w:ascii="Calibri" w:eastAsia="Times New Roman" w:hAnsi="Calibri" w:cs="Calibri"/>
                <w:lang w:eastAsia="fr-FR"/>
              </w:rPr>
              <w:t>V</w:t>
            </w:r>
            <w:r w:rsidRPr="00BA5B95">
              <w:rPr>
                <w:rFonts w:ascii="Calibri" w:eastAsia="Times New Roman" w:hAnsi="Calibri" w:cs="Calibri"/>
                <w:lang w:eastAsia="fr-FR"/>
              </w:rPr>
              <w:t xml:space="preserve">aleur </w:t>
            </w:r>
            <w:r>
              <w:rPr>
                <w:rFonts w:ascii="Calibri" w:eastAsia="Times New Roman" w:hAnsi="Calibri" w:cs="Calibri"/>
                <w:lang w:eastAsia="fr-FR"/>
              </w:rPr>
              <w:t>A</w:t>
            </w:r>
            <w:r w:rsidRPr="00BA5B95">
              <w:rPr>
                <w:rFonts w:ascii="Calibri" w:eastAsia="Times New Roman" w:hAnsi="Calibri" w:cs="Calibri"/>
                <w:lang w:eastAsia="fr-FR"/>
              </w:rPr>
              <w:t>joutée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3 140 438 €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3 292 834 €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152 396 €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5%</w:t>
            </w:r>
          </w:p>
        </w:tc>
      </w:tr>
      <w:tr w:rsidR="00BA5B95" w:rsidRPr="00BA5B95" w:rsidTr="00801553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 xml:space="preserve">Taxes </w:t>
            </w:r>
            <w:r>
              <w:rPr>
                <w:rFonts w:ascii="Calibri" w:eastAsia="Times New Roman" w:hAnsi="Calibri" w:cs="Calibri"/>
                <w:lang w:eastAsia="fr-FR"/>
              </w:rPr>
              <w:t>F</w:t>
            </w:r>
            <w:r w:rsidRPr="00BA5B95">
              <w:rPr>
                <w:rFonts w:ascii="Calibri" w:eastAsia="Times New Roman" w:hAnsi="Calibri" w:cs="Calibri"/>
                <w:lang w:eastAsia="fr-FR"/>
              </w:rPr>
              <w:t>oncières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1 277 191 €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1 316 636 €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39 445 €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3%</w:t>
            </w:r>
          </w:p>
        </w:tc>
      </w:tr>
      <w:tr w:rsidR="00BA5B95" w:rsidRPr="00BA5B95" w:rsidTr="00801553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801553" w:rsidP="00BA5B9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GEMAPI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1 302 194 €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1 301 278 €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-916 €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0%</w:t>
            </w:r>
          </w:p>
        </w:tc>
      </w:tr>
      <w:tr w:rsidR="00BA5B95" w:rsidRPr="00BA5B95" w:rsidTr="00801553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801553" w:rsidP="00BA5B9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TASCOM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951 015 €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1 039 698 €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88 683 €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9%</w:t>
            </w:r>
          </w:p>
        </w:tc>
      </w:tr>
      <w:tr w:rsidR="00BA5B95" w:rsidRPr="00BA5B95" w:rsidTr="00801553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801553" w:rsidP="00BA5B9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Imposition forfaitaire sur les réseaux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346 602 €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356 913 €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10 311 €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3%</w:t>
            </w:r>
          </w:p>
        </w:tc>
      </w:tr>
      <w:tr w:rsidR="00BA5B95" w:rsidRPr="00BA5B95" w:rsidTr="00801553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801553" w:rsidP="00BA5B9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Rôles supplémentaires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130 553 €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166 093 €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35 540 €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95" w:rsidRPr="00BA5B95" w:rsidRDefault="00BA5B95" w:rsidP="00BA5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lang w:eastAsia="fr-FR"/>
              </w:rPr>
              <w:t>27%</w:t>
            </w:r>
          </w:p>
        </w:tc>
      </w:tr>
      <w:tr w:rsidR="00801553" w:rsidRPr="00BA5B95" w:rsidTr="001F77DE">
        <w:trPr>
          <w:trHeight w:val="30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01553" w:rsidRPr="00BA5B95" w:rsidRDefault="00801553" w:rsidP="0080155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01553" w:rsidRPr="00BA5B95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20 112 495 €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01553" w:rsidRPr="00BA5B95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21 027 623 €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01553" w:rsidRPr="00BA5B95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915 128 €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01553" w:rsidRPr="00BA5B95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5B9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5%</w:t>
            </w:r>
          </w:p>
        </w:tc>
      </w:tr>
    </w:tbl>
    <w:p w:rsidR="00625477" w:rsidRDefault="00625477" w:rsidP="0093096C">
      <w:pPr>
        <w:jc w:val="both"/>
      </w:pPr>
    </w:p>
    <w:p w:rsidR="00D93059" w:rsidRPr="00E223F5" w:rsidRDefault="00F334A1" w:rsidP="0093096C">
      <w:pPr>
        <w:jc w:val="both"/>
      </w:pPr>
      <w:r w:rsidRPr="00E223F5">
        <w:t>La progression du produit de taxe foncière et de taxe d’habitation (+</w:t>
      </w:r>
      <w:r w:rsidR="001F77DE" w:rsidRPr="00E223F5">
        <w:t>186</w:t>
      </w:r>
      <w:r w:rsidRPr="00E223F5">
        <w:t xml:space="preserve"> K€) s’explique par</w:t>
      </w:r>
      <w:r w:rsidR="00D93059" w:rsidRPr="00E223F5">
        <w:t> :</w:t>
      </w:r>
    </w:p>
    <w:p w:rsidR="00D93059" w:rsidRPr="00E223F5" w:rsidRDefault="00F334A1" w:rsidP="005046DF">
      <w:pPr>
        <w:pStyle w:val="Paragraphedeliste"/>
        <w:numPr>
          <w:ilvl w:val="0"/>
          <w:numId w:val="3"/>
        </w:numPr>
        <w:jc w:val="both"/>
      </w:pPr>
      <w:r w:rsidRPr="00E223F5">
        <w:t xml:space="preserve">l’actualisation nationale des bases de </w:t>
      </w:r>
      <w:r w:rsidR="00D93059" w:rsidRPr="00E223F5">
        <w:t>+</w:t>
      </w:r>
      <w:r w:rsidR="00BD4492" w:rsidRPr="00E223F5">
        <w:t>1</w:t>
      </w:r>
      <w:r w:rsidR="00ED4AB4" w:rsidRPr="00E223F5">
        <w:t>,2 %,</w:t>
      </w:r>
    </w:p>
    <w:p w:rsidR="00F334A1" w:rsidRPr="00E223F5" w:rsidRDefault="00F334A1" w:rsidP="005046DF">
      <w:pPr>
        <w:pStyle w:val="Paragraphedeliste"/>
        <w:numPr>
          <w:ilvl w:val="0"/>
          <w:numId w:val="3"/>
        </w:numPr>
        <w:jc w:val="both"/>
      </w:pPr>
      <w:r w:rsidRPr="00E223F5">
        <w:t>et les évolutions physiques des bases</w:t>
      </w:r>
      <w:r w:rsidR="00D93059" w:rsidRPr="00E223F5">
        <w:t xml:space="preserve"> </w:t>
      </w:r>
      <w:r w:rsidRPr="00E223F5">
        <w:t xml:space="preserve"> (travaux, nouvelles constructions…)</w:t>
      </w:r>
      <w:r w:rsidR="00D93059" w:rsidRPr="00E223F5">
        <w:t xml:space="preserve"> de +0,8% pour la TH et +</w:t>
      </w:r>
      <w:r w:rsidR="00E223F5" w:rsidRPr="00E223F5">
        <w:t>1,8</w:t>
      </w:r>
      <w:r w:rsidR="00D93059" w:rsidRPr="00E223F5">
        <w:t>% pour la TF</w:t>
      </w:r>
      <w:r w:rsidR="00ED4AB4" w:rsidRPr="00E223F5">
        <w:t>.</w:t>
      </w:r>
    </w:p>
    <w:p w:rsidR="00F334A1" w:rsidRDefault="00F334A1" w:rsidP="00F334A1">
      <w:pPr>
        <w:spacing w:after="0" w:line="240" w:lineRule="auto"/>
        <w:jc w:val="both"/>
        <w:rPr>
          <w:color w:val="FF0000"/>
        </w:rPr>
      </w:pPr>
    </w:p>
    <w:tbl>
      <w:tblPr>
        <w:tblStyle w:val="Grilledutableau"/>
        <w:tblW w:w="0" w:type="auto"/>
        <w:jc w:val="center"/>
        <w:tblInd w:w="-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9"/>
        <w:gridCol w:w="3611"/>
      </w:tblGrid>
      <w:tr w:rsidR="00E223F5" w:rsidTr="001403B3">
        <w:trPr>
          <w:jc w:val="center"/>
        </w:trPr>
        <w:tc>
          <w:tcPr>
            <w:tcW w:w="5759" w:type="dxa"/>
          </w:tcPr>
          <w:p w:rsidR="00E223F5" w:rsidRDefault="00E223F5" w:rsidP="001403B3">
            <w:pPr>
              <w:spacing w:after="0" w:line="240" w:lineRule="auto"/>
              <w:ind w:left="320"/>
              <w:jc w:val="both"/>
              <w:rPr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2F1E96" wp14:editId="25B52368">
                  <wp:extent cx="3278037" cy="2173857"/>
                  <wp:effectExtent l="0" t="0" r="0" b="0"/>
                  <wp:docPr id="2" name="Graphique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611" w:type="dxa"/>
          </w:tcPr>
          <w:p w:rsidR="001403B3" w:rsidRPr="001403B3" w:rsidRDefault="001403B3" w:rsidP="001403B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223F5" w:rsidRPr="00D236FA" w:rsidRDefault="00E223F5" w:rsidP="001403B3">
            <w:pPr>
              <w:spacing w:after="120"/>
              <w:jc w:val="both"/>
            </w:pPr>
            <w:r w:rsidRPr="00D236FA">
              <w:t xml:space="preserve">Le produit de la CVAE </w:t>
            </w:r>
            <w:r w:rsidR="001403B3">
              <w:t>varie fréquemment</w:t>
            </w:r>
            <w:r w:rsidR="00D236FA" w:rsidRPr="00D236FA">
              <w:t xml:space="preserve"> d’un exercice à l’autre.</w:t>
            </w:r>
          </w:p>
          <w:p w:rsidR="00E223F5" w:rsidRPr="00D236FA" w:rsidRDefault="00E223F5" w:rsidP="001403B3">
            <w:pPr>
              <w:spacing w:after="120"/>
              <w:jc w:val="both"/>
            </w:pPr>
          </w:p>
          <w:p w:rsidR="00E223F5" w:rsidRPr="00D236FA" w:rsidRDefault="00D236FA" w:rsidP="001403B3">
            <w:pPr>
              <w:spacing w:after="120"/>
              <w:jc w:val="both"/>
            </w:pPr>
            <w:r w:rsidRPr="00D236FA">
              <w:t>Entre 2019 et 2020, l</w:t>
            </w:r>
            <w:r w:rsidR="00E223F5" w:rsidRPr="00D236FA">
              <w:t>e produit de CVAE est en hausse (+</w:t>
            </w:r>
            <w:r w:rsidRPr="00D236FA">
              <w:t>152</w:t>
            </w:r>
            <w:r w:rsidR="00E223F5" w:rsidRPr="00D236FA">
              <w:t xml:space="preserve"> K€), du fait de la territorialisation d’une partie de la CVAE d’un établissement dominant industriel du domaine de l’aéronautique.</w:t>
            </w:r>
          </w:p>
          <w:p w:rsidR="00E223F5" w:rsidRPr="00D236FA" w:rsidRDefault="00E223F5" w:rsidP="00F334A1">
            <w:pPr>
              <w:spacing w:after="0" w:line="240" w:lineRule="auto"/>
              <w:jc w:val="both"/>
            </w:pPr>
          </w:p>
        </w:tc>
      </w:tr>
    </w:tbl>
    <w:p w:rsidR="00E223F5" w:rsidRPr="0093096C" w:rsidRDefault="00E223F5" w:rsidP="0093096C">
      <w:pPr>
        <w:jc w:val="both"/>
      </w:pPr>
    </w:p>
    <w:p w:rsidR="006A1E9E" w:rsidRDefault="00046A6C" w:rsidP="0093096C">
      <w:pPr>
        <w:jc w:val="both"/>
      </w:pPr>
      <w:r w:rsidRPr="00060805">
        <w:t xml:space="preserve">Le produit de la CFE augmente sensiblement entre 2019 et 2020 (+9%). Le taux restant stable, cette hausse est uniquement liée à l’évolution des bases. </w:t>
      </w:r>
      <w:r w:rsidR="00060805" w:rsidRPr="00060805">
        <w:t xml:space="preserve">Le nombre d’entreprises éligibles passe de 3 751 à 3 860 soit une hausse de 3%. </w:t>
      </w:r>
      <w:r w:rsidR="00415E78">
        <w:t>De plus, la CFE d’un établissement dominant industriel du domaine de l’aéronautique a fortement au</w:t>
      </w:r>
      <w:r w:rsidR="00B1360B">
        <w:t>gmenté suite à des agrandissements (+350 K€).</w:t>
      </w:r>
    </w:p>
    <w:p w:rsidR="00060805" w:rsidRDefault="00060805" w:rsidP="00060805">
      <w:pPr>
        <w:jc w:val="both"/>
      </w:pPr>
      <w:r>
        <w:t xml:space="preserve">Pour mémoire, </w:t>
      </w:r>
      <w:r w:rsidR="001403B3">
        <w:t xml:space="preserve">le Conseil Communautaire </w:t>
      </w:r>
      <w:r>
        <w:t>a approuvé un d</w:t>
      </w:r>
      <w:r w:rsidRPr="00060805">
        <w:t xml:space="preserve">égrèvement des 2/3 du montant de CFE </w:t>
      </w:r>
      <w:r w:rsidR="001403B3">
        <w:t>pour les</w:t>
      </w:r>
      <w:r w:rsidRPr="00060805">
        <w:t xml:space="preserve"> entreprises relevant du secteur du tourisme, de l’hôtellerie, de la restauration, du sport, de la culture, du transport aérien, de l’évènementiel</w:t>
      </w:r>
      <w:r>
        <w:t xml:space="preserve"> au titre de l’année 2020. Ces entreprises ont été particulièrement impactées </w:t>
      </w:r>
      <w:r w:rsidR="00373A34">
        <w:t>par la crise sanitaire. Ce dégrèvement a été</w:t>
      </w:r>
      <w:r w:rsidRPr="00060805">
        <w:t xml:space="preserve"> </w:t>
      </w:r>
      <w:r w:rsidR="00373A34">
        <w:t>p</w:t>
      </w:r>
      <w:r w:rsidRPr="00060805">
        <w:t>ris en charge par l’Etat à hauteur de 50 %</w:t>
      </w:r>
      <w:r w:rsidR="00373A34">
        <w:t xml:space="preserve">. </w:t>
      </w:r>
    </w:p>
    <w:p w:rsidR="00060805" w:rsidRDefault="00E16E33" w:rsidP="00E16E33">
      <w:pPr>
        <w:jc w:val="both"/>
      </w:pPr>
      <w:r>
        <w:t>268 entreprises ont bénéficié de ce dégrèvement pour un montant total de 176 </w:t>
      </w:r>
      <w:r w:rsidR="00847425">
        <w:t>K</w:t>
      </w:r>
      <w:r>
        <w:t>€.</w:t>
      </w:r>
      <w:r w:rsidR="00060805">
        <w:t xml:space="preserve"> </w:t>
      </w:r>
    </w:p>
    <w:p w:rsidR="00B077B0" w:rsidRDefault="00B077B0" w:rsidP="00B077B0">
      <w:pPr>
        <w:spacing w:after="0" w:line="240" w:lineRule="auto"/>
      </w:pPr>
    </w:p>
    <w:p w:rsidR="00D236FA" w:rsidRDefault="00D236FA" w:rsidP="00D236FA">
      <w:pPr>
        <w:pStyle w:val="Titre4"/>
      </w:pPr>
      <w:r>
        <w:t>Les autres recettes</w:t>
      </w:r>
    </w:p>
    <w:p w:rsidR="006A1E9E" w:rsidRPr="00D236FA" w:rsidRDefault="006A1E9E" w:rsidP="0093096C">
      <w:pPr>
        <w:jc w:val="both"/>
      </w:pPr>
      <w:r w:rsidRPr="00D236FA">
        <w:t>Par ailleurs, le territoire de la CARO est bénéficiaire du Fonds national de Péréquation des ressources Intercommunales et Communales (FPIC) pour un montant glob</w:t>
      </w:r>
      <w:r w:rsidR="00130B1A" w:rsidRPr="00D236FA">
        <w:t xml:space="preserve">al de 1 </w:t>
      </w:r>
      <w:r w:rsidR="00D236FA" w:rsidRPr="00D236FA">
        <w:t>843</w:t>
      </w:r>
      <w:r w:rsidR="00130B1A" w:rsidRPr="00D236FA">
        <w:t xml:space="preserve"> K€ en 20</w:t>
      </w:r>
      <w:r w:rsidR="00D236FA" w:rsidRPr="00D236FA">
        <w:t>20</w:t>
      </w:r>
      <w:r w:rsidR="00130B1A" w:rsidRPr="00D236FA">
        <w:t xml:space="preserve">, réparti </w:t>
      </w:r>
      <w:r w:rsidRPr="00D236FA">
        <w:t xml:space="preserve">entre la CARO </w:t>
      </w:r>
      <w:r w:rsidR="00D93059" w:rsidRPr="00D236FA">
        <w:t xml:space="preserve">pour </w:t>
      </w:r>
      <w:r w:rsidR="00D236FA" w:rsidRPr="00D236FA">
        <w:t>773</w:t>
      </w:r>
      <w:r w:rsidR="00D93059" w:rsidRPr="00D236FA">
        <w:t xml:space="preserve"> K€ </w:t>
      </w:r>
      <w:r w:rsidRPr="00D236FA">
        <w:t>et les commune</w:t>
      </w:r>
      <w:r w:rsidR="00D93059" w:rsidRPr="00D236FA">
        <w:t xml:space="preserve">s membres selon le </w:t>
      </w:r>
      <w:r w:rsidR="006F6B06">
        <w:t xml:space="preserve">régime de </w:t>
      </w:r>
      <w:r w:rsidR="00D93059" w:rsidRPr="00D236FA">
        <w:t>droit commun pour 1 </w:t>
      </w:r>
      <w:r w:rsidR="00D236FA" w:rsidRPr="00D236FA">
        <w:t>070</w:t>
      </w:r>
      <w:r w:rsidR="00D93059" w:rsidRPr="00D236FA">
        <w:t xml:space="preserve"> K€</w:t>
      </w:r>
      <w:r w:rsidRPr="00D236FA">
        <w:t>.</w:t>
      </w:r>
    </w:p>
    <w:p w:rsidR="00D236FA" w:rsidRPr="00D236FA" w:rsidRDefault="00D236FA" w:rsidP="0093096C">
      <w:pPr>
        <w:jc w:val="both"/>
      </w:pPr>
    </w:p>
    <w:p w:rsidR="00D236FA" w:rsidRPr="00D236FA" w:rsidRDefault="00D236FA" w:rsidP="0093096C">
      <w:pPr>
        <w:jc w:val="both"/>
      </w:pPr>
      <w:r w:rsidRPr="00D236FA">
        <w:t xml:space="preserve">Enfin, la CARO bénéficie d’une attribution de compensation en hausse (+830 K€) suite aux mutualisations </w:t>
      </w:r>
      <w:r w:rsidR="006F6B06">
        <w:t>nouvelles constatées</w:t>
      </w:r>
      <w:r w:rsidRPr="00D236FA">
        <w:t xml:space="preserve"> au 1</w:t>
      </w:r>
      <w:r w:rsidRPr="0093096C">
        <w:t>er</w:t>
      </w:r>
      <w:r w:rsidR="006F6B06">
        <w:t xml:space="preserve"> janvier 2020 (Ville de Rochefort)</w:t>
      </w:r>
      <w:r w:rsidR="004104BD">
        <w:t xml:space="preserve">. </w:t>
      </w:r>
    </w:p>
    <w:p w:rsidR="00E630B4" w:rsidRDefault="00E630B4" w:rsidP="00875C2B">
      <w:pPr>
        <w:pStyle w:val="Titre3"/>
      </w:pPr>
      <w:bookmarkStart w:id="13" w:name="_Toc10034201"/>
      <w:bookmarkStart w:id="14" w:name="_Toc10034873"/>
      <w:bookmarkStart w:id="15" w:name="_Toc74317329"/>
      <w:r w:rsidRPr="004562F4">
        <w:lastRenderedPageBreak/>
        <w:t>Chapitre 74</w:t>
      </w:r>
      <w:r>
        <w:t> :</w:t>
      </w:r>
      <w:r w:rsidRPr="004562F4">
        <w:t xml:space="preserve"> les dotations</w:t>
      </w:r>
      <w:bookmarkEnd w:id="13"/>
      <w:bookmarkEnd w:id="14"/>
      <w:r w:rsidR="00333120">
        <w:t xml:space="preserve"> (6</w:t>
      </w:r>
      <w:r w:rsidR="000655E8">
        <w:t>,9</w:t>
      </w:r>
      <w:r w:rsidR="00333120">
        <w:t xml:space="preserve"> M€)</w:t>
      </w:r>
      <w:bookmarkEnd w:id="15"/>
    </w:p>
    <w:p w:rsidR="00E630B4" w:rsidRDefault="00E630B4" w:rsidP="00E630B4">
      <w:pPr>
        <w:pStyle w:val="Titre4"/>
      </w:pPr>
      <w:r w:rsidRPr="00EA70FF">
        <w:t xml:space="preserve">Les </w:t>
      </w:r>
      <w:r>
        <w:t>concours de l’État</w:t>
      </w:r>
    </w:p>
    <w:p w:rsidR="00E630B4" w:rsidRDefault="00AF7055" w:rsidP="00837D42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7F15BE51" wp14:editId="003328A9">
            <wp:extent cx="5149970" cy="3459193"/>
            <wp:effectExtent l="0" t="0" r="0" b="8255"/>
            <wp:docPr id="22" name="Graphique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4811" w:rsidRDefault="00174811" w:rsidP="009B67D1">
      <w:pPr>
        <w:spacing w:after="0" w:line="240" w:lineRule="auto"/>
        <w:jc w:val="both"/>
      </w:pPr>
    </w:p>
    <w:p w:rsidR="00B52EB5" w:rsidRDefault="00B52EB5">
      <w:pPr>
        <w:spacing w:after="200" w:line="276" w:lineRule="auto"/>
      </w:pPr>
    </w:p>
    <w:p w:rsidR="00E630B4" w:rsidRDefault="00E630B4" w:rsidP="00E630B4">
      <w:pPr>
        <w:pStyle w:val="Titre4"/>
      </w:pPr>
      <w:r w:rsidRPr="00EA70FF">
        <w:t xml:space="preserve">Les </w:t>
      </w:r>
      <w:r>
        <w:t>participations et subventions de fonctionnement</w:t>
      </w:r>
    </w:p>
    <w:p w:rsidR="00743037" w:rsidRDefault="00743037" w:rsidP="0093096C">
      <w:pPr>
        <w:jc w:val="both"/>
      </w:pPr>
      <w:r w:rsidRPr="00801553">
        <w:t xml:space="preserve">Afin de financer leurs activités, les services recherchent </w:t>
      </w:r>
      <w:r w:rsidR="00393BBD" w:rsidRPr="00801553">
        <w:t>systématiquement</w:t>
      </w:r>
      <w:r w:rsidRPr="00801553">
        <w:t xml:space="preserve"> des subventions auprès d’autres organismes</w:t>
      </w:r>
      <w:r w:rsidR="00DB4F7A" w:rsidRPr="00801553">
        <w:t xml:space="preserve">. Ainsi, </w:t>
      </w:r>
      <w:r w:rsidRPr="00801553">
        <w:t xml:space="preserve">la CARO a pu </w:t>
      </w:r>
      <w:r w:rsidR="00393BBD" w:rsidRPr="00801553">
        <w:t>bénéficier</w:t>
      </w:r>
      <w:r w:rsidRPr="00801553">
        <w:t xml:space="preserve"> en 20</w:t>
      </w:r>
      <w:r w:rsidR="00801553" w:rsidRPr="00801553">
        <w:t>20</w:t>
      </w:r>
      <w:r w:rsidRPr="00801553">
        <w:t xml:space="preserve">, </w:t>
      </w:r>
      <w:r w:rsidR="00987D73">
        <w:t xml:space="preserve">pour financer certaines </w:t>
      </w:r>
      <w:r w:rsidRPr="00801553">
        <w:t xml:space="preserve">dépenses de fonctionnement, </w:t>
      </w:r>
      <w:r w:rsidR="00847425">
        <w:t>d’</w:t>
      </w:r>
      <w:r w:rsidRPr="00801553">
        <w:t xml:space="preserve">un montant global de </w:t>
      </w:r>
      <w:r w:rsidR="00801553" w:rsidRPr="00801553">
        <w:t xml:space="preserve">1 176 </w:t>
      </w:r>
      <w:r w:rsidRPr="00801553">
        <w:t xml:space="preserve">K€ </w:t>
      </w:r>
      <w:r w:rsidR="00987D73">
        <w:t xml:space="preserve">de subventions </w:t>
      </w:r>
      <w:r w:rsidRPr="00801553">
        <w:t>réparti</w:t>
      </w:r>
      <w:r w:rsidR="00987D73">
        <w:t>es</w:t>
      </w:r>
      <w:r w:rsidRPr="00801553">
        <w:t xml:space="preserve"> comme suit :</w:t>
      </w:r>
    </w:p>
    <w:p w:rsidR="00110B63" w:rsidRPr="00801553" w:rsidRDefault="00110B63" w:rsidP="00110B63">
      <w:pPr>
        <w:spacing w:after="0"/>
        <w:jc w:val="both"/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1460"/>
      </w:tblGrid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01553" w:rsidRPr="00EF6630" w:rsidRDefault="00801553" w:rsidP="0080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801553" w:rsidRPr="00EF6630" w:rsidRDefault="00801553" w:rsidP="00801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Mandaté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D82EF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GEMAPI, Pluvial &amp; </w:t>
            </w:r>
            <w:r w:rsidR="00D82EF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</w:t>
            </w: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nvironnement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484 832 €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SMCA - bassin versant Nord Rochefort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174 967 €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801553">
              <w:rPr>
                <w:rFonts w:ascii="Calibri" w:eastAsia="Times New Roman" w:hAnsi="Calibri" w:cs="Calibri"/>
                <w:lang w:eastAsia="fr-FR"/>
              </w:rPr>
              <w:t>Natura</w:t>
            </w:r>
            <w:proofErr w:type="spellEnd"/>
            <w:r w:rsidRPr="00801553">
              <w:rPr>
                <w:rFonts w:ascii="Calibri" w:eastAsia="Times New Roman" w:hAnsi="Calibri" w:cs="Calibri"/>
                <w:lang w:eastAsia="fr-FR"/>
              </w:rPr>
              <w:t xml:space="preserve"> 2000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103 413 €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Lutte contre les ragondins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81 435 €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Programme Alimentaire Territorialisé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44 192 €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987D7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801553">
              <w:rPr>
                <w:rFonts w:ascii="Calibri" w:eastAsia="Times New Roman" w:hAnsi="Calibri" w:cs="Calibri"/>
                <w:lang w:eastAsia="fr-FR"/>
              </w:rPr>
              <w:t>G</w:t>
            </w:r>
            <w:r w:rsidR="00987D73">
              <w:rPr>
                <w:rFonts w:ascii="Calibri" w:eastAsia="Times New Roman" w:hAnsi="Calibri" w:cs="Calibri"/>
                <w:lang w:eastAsia="fr-FR"/>
              </w:rPr>
              <w:t>e</w:t>
            </w:r>
            <w:r w:rsidRPr="00801553">
              <w:rPr>
                <w:rFonts w:ascii="Calibri" w:eastAsia="Times New Roman" w:hAnsi="Calibri" w:cs="Calibri"/>
                <w:lang w:eastAsia="fr-FR"/>
              </w:rPr>
              <w:t>mapi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35 157 €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Contrat de Transition Ecologique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24 000 €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Point Info Energie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12 800 €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 xml:space="preserve">Lutte contre la </w:t>
            </w:r>
            <w:proofErr w:type="spellStart"/>
            <w:r w:rsidRPr="00801553">
              <w:rPr>
                <w:rFonts w:ascii="Calibri" w:eastAsia="Times New Roman" w:hAnsi="Calibri" w:cs="Calibri"/>
                <w:lang w:eastAsia="fr-FR"/>
              </w:rPr>
              <w:t>jussie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8 868 €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Habitat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212 914 €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OPAH - réhabilitation de logements privés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131 483 €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Aires de gens du voyage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81 431 €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Tourisme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121 233 €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Grand Site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55 390 €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Grands projets Marais de Brouage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52 343 €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Pont Transbordeur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13 500 €</w:t>
            </w:r>
          </w:p>
        </w:tc>
      </w:tr>
      <w:tr w:rsidR="00B1360B" w:rsidRPr="00801553" w:rsidTr="00327894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1360B" w:rsidRPr="00EF6630" w:rsidRDefault="00B1360B" w:rsidP="00327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1360B" w:rsidRPr="00EF6630" w:rsidRDefault="00B1360B" w:rsidP="0032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Mandaté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Santé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97 631 €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Crise Sanitaire</w:t>
            </w:r>
            <w:r w:rsidR="00987D73">
              <w:rPr>
                <w:rFonts w:ascii="Calibri" w:eastAsia="Times New Roman" w:hAnsi="Calibri" w:cs="Calibri"/>
                <w:lang w:eastAsia="fr-FR"/>
              </w:rPr>
              <w:t xml:space="preserve"> (masques)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68 631 €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Lutte contre les déserts médicaux - étude &amp; diagnostic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29 000 €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Urbanisme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78 500 €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Part des communes - instruction droit du sol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78 500 €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Leader 2014-2020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66 066 €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Animation de la gestion du programme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66 066 €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Culture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64 560 €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Education artistique et culturelle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30 000 €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Conservatoire de musique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19 560 €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Réseau lecture publique et médiathèques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15 000 €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D82EF3" w:rsidP="0080155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Économie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FD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  <w:r w:rsidR="00FD68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FD68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</w:t>
            </w: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Concours architecte EUROPAN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27 500 €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Territoires d'industrie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8 333 €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Appel à projet expérimentations élevages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2 431 €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Sports &amp; nautisme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6 500 €</w:t>
            </w:r>
          </w:p>
        </w:tc>
      </w:tr>
      <w:tr w:rsidR="00FD684A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4A" w:rsidRPr="00801553" w:rsidRDefault="00FD684A" w:rsidP="00F4712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Fort Boyard Challenge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84A" w:rsidRPr="00801553" w:rsidRDefault="00FD684A" w:rsidP="00F4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lang w:eastAsia="fr-FR"/>
              </w:rPr>
              <w:t>6 500 €</w:t>
            </w:r>
          </w:p>
        </w:tc>
      </w:tr>
      <w:tr w:rsidR="00FD684A" w:rsidRPr="00FD684A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4A" w:rsidRPr="00FD684A" w:rsidRDefault="00FD684A" w:rsidP="00FD684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D68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Divers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84A" w:rsidRPr="00FD684A" w:rsidRDefault="00FD684A" w:rsidP="00FD684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</w:t>
            </w:r>
            <w:r w:rsidRPr="00FD68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6 120 €</w:t>
            </w:r>
          </w:p>
        </w:tc>
      </w:tr>
      <w:tr w:rsidR="00801553" w:rsidRPr="00801553" w:rsidTr="00B1360B">
        <w:trPr>
          <w:trHeight w:val="300"/>
          <w:tblHeader/>
          <w:jc w:val="center"/>
        </w:trPr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801553" w:rsidRPr="00801553" w:rsidRDefault="00801553" w:rsidP="00801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15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1 176 620 €</w:t>
            </w:r>
          </w:p>
        </w:tc>
      </w:tr>
    </w:tbl>
    <w:p w:rsidR="00E630B4" w:rsidRDefault="00E630B4" w:rsidP="00743037">
      <w:pPr>
        <w:spacing w:after="0" w:line="240" w:lineRule="auto"/>
        <w:jc w:val="center"/>
        <w:rPr>
          <w:color w:val="FF0000"/>
        </w:rPr>
      </w:pPr>
    </w:p>
    <w:p w:rsidR="00B1360B" w:rsidRPr="00F55080" w:rsidRDefault="00B1360B" w:rsidP="00743037">
      <w:pPr>
        <w:spacing w:after="0" w:line="240" w:lineRule="auto"/>
        <w:jc w:val="center"/>
        <w:rPr>
          <w:color w:val="FF0000"/>
        </w:rPr>
      </w:pPr>
    </w:p>
    <w:p w:rsidR="00333120" w:rsidRDefault="00333120" w:rsidP="00743037">
      <w:pPr>
        <w:spacing w:after="0" w:line="240" w:lineRule="auto"/>
        <w:jc w:val="center"/>
      </w:pPr>
    </w:p>
    <w:p w:rsidR="00E630B4" w:rsidRDefault="00E630B4" w:rsidP="00875C2B">
      <w:pPr>
        <w:pStyle w:val="Titre3"/>
      </w:pPr>
      <w:bookmarkStart w:id="16" w:name="_Toc10034202"/>
      <w:bookmarkStart w:id="17" w:name="_Toc10034874"/>
      <w:bookmarkStart w:id="18" w:name="_Toc74317330"/>
      <w:r w:rsidRPr="00A95164">
        <w:t>Chapitre 7</w:t>
      </w:r>
      <w:r>
        <w:t xml:space="preserve">5 : les loyers </w:t>
      </w:r>
      <w:bookmarkEnd w:id="16"/>
      <w:bookmarkEnd w:id="17"/>
      <w:r w:rsidR="00333120">
        <w:t>(0,</w:t>
      </w:r>
      <w:r w:rsidR="00B86BAB">
        <w:t>5</w:t>
      </w:r>
      <w:r w:rsidR="000655E8">
        <w:t> </w:t>
      </w:r>
      <w:r w:rsidR="00333120">
        <w:t>M€)</w:t>
      </w:r>
      <w:bookmarkEnd w:id="18"/>
    </w:p>
    <w:p w:rsidR="00743037" w:rsidRDefault="00743037" w:rsidP="0093096C">
      <w:pPr>
        <w:jc w:val="both"/>
      </w:pPr>
      <w:r w:rsidRPr="00DE7787">
        <w:t>Les loyers perçus par la CARO concernent principalement le site de la Maison de l’Emploi, les logements sociaux et le bail de la CPAM</w:t>
      </w:r>
      <w:r w:rsidR="00625085" w:rsidRPr="00DE7787">
        <w:t xml:space="preserve"> sur le site des Fourriers</w:t>
      </w:r>
      <w:r w:rsidRPr="00DE7787">
        <w:t xml:space="preserve">. </w:t>
      </w:r>
    </w:p>
    <w:p w:rsidR="00174811" w:rsidRPr="00DE7787" w:rsidRDefault="00174811" w:rsidP="0093096C">
      <w:pPr>
        <w:jc w:val="both"/>
      </w:pPr>
    </w:p>
    <w:p w:rsidR="000655E8" w:rsidRDefault="00952C4D" w:rsidP="00CD6094">
      <w:pPr>
        <w:spacing w:after="0" w:line="240" w:lineRule="auto"/>
        <w:jc w:val="center"/>
        <w:rPr>
          <w:color w:val="FF0000"/>
        </w:rPr>
      </w:pPr>
      <w:r>
        <w:rPr>
          <w:noProof/>
          <w:lang w:eastAsia="fr-FR"/>
        </w:rPr>
        <w:drawing>
          <wp:inline distT="0" distB="0" distL="0" distR="0" wp14:anchorId="59F8A845" wp14:editId="335C3C81">
            <wp:extent cx="5133975" cy="337185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55E8" w:rsidRDefault="000655E8" w:rsidP="00875C2B">
      <w:pPr>
        <w:pStyle w:val="Titre3"/>
      </w:pPr>
      <w:bookmarkStart w:id="19" w:name="_Toc74317331"/>
      <w:r w:rsidRPr="00A95164">
        <w:lastRenderedPageBreak/>
        <w:t>Chapitre 7</w:t>
      </w:r>
      <w:r>
        <w:t>7 : les produits exceptionnels (0,17 M€)</w:t>
      </w:r>
      <w:bookmarkEnd w:id="19"/>
    </w:p>
    <w:p w:rsidR="000655E8" w:rsidRPr="00DE7787" w:rsidRDefault="00DE7787" w:rsidP="0093096C">
      <w:pPr>
        <w:jc w:val="both"/>
      </w:pPr>
      <w:r w:rsidRPr="00DE7787">
        <w:t xml:space="preserve">Les produits </w:t>
      </w:r>
      <w:r w:rsidR="00B52EB5">
        <w:t xml:space="preserve">exceptionnels </w:t>
      </w:r>
      <w:r w:rsidRPr="00DE7787">
        <w:t>concernent essentiellement les écritures comptables liées à une cession immobilière (échange de la maison du Pont Transbordeur) ou des remboursements d’assurance (vol à l’aire des gens du voyage de Tonnay-Charente).</w:t>
      </w:r>
    </w:p>
    <w:p w:rsidR="00DE7787" w:rsidRPr="00DE7787" w:rsidRDefault="00DE7787" w:rsidP="0093096C">
      <w:pPr>
        <w:jc w:val="both"/>
      </w:pPr>
    </w:p>
    <w:p w:rsidR="000655E8" w:rsidRPr="00DE7787" w:rsidRDefault="000655E8" w:rsidP="00CD6094">
      <w:pPr>
        <w:spacing w:after="0" w:line="240" w:lineRule="auto"/>
        <w:jc w:val="center"/>
      </w:pPr>
    </w:p>
    <w:p w:rsidR="000655E8" w:rsidRPr="00DE7787" w:rsidRDefault="000655E8" w:rsidP="00CD6094">
      <w:pPr>
        <w:spacing w:after="0" w:line="240" w:lineRule="auto"/>
        <w:jc w:val="center"/>
      </w:pPr>
    </w:p>
    <w:p w:rsidR="000655E8" w:rsidRPr="00DE7787" w:rsidRDefault="000655E8" w:rsidP="00CD6094">
      <w:pPr>
        <w:spacing w:after="0" w:line="240" w:lineRule="auto"/>
        <w:jc w:val="center"/>
      </w:pPr>
    </w:p>
    <w:p w:rsidR="000655E8" w:rsidRPr="00DE7787" w:rsidRDefault="000655E8" w:rsidP="00CD6094">
      <w:pPr>
        <w:spacing w:after="0" w:line="240" w:lineRule="auto"/>
        <w:jc w:val="center"/>
      </w:pPr>
    </w:p>
    <w:p w:rsidR="00D93059" w:rsidRPr="00DE7787" w:rsidRDefault="00D93059" w:rsidP="00CD6094">
      <w:pPr>
        <w:spacing w:after="0" w:line="240" w:lineRule="auto"/>
        <w:jc w:val="center"/>
        <w:rPr>
          <w:rFonts w:eastAsiaTheme="majorEastAsia" w:cstheme="majorBidi"/>
          <w:b/>
          <w:bCs/>
          <w:sz w:val="26"/>
          <w:szCs w:val="26"/>
        </w:rPr>
      </w:pPr>
      <w:r w:rsidRPr="00DE7787">
        <w:br w:type="page"/>
      </w:r>
    </w:p>
    <w:p w:rsidR="0080541E" w:rsidRDefault="0080541E" w:rsidP="0080541E">
      <w:pPr>
        <w:pStyle w:val="Titre2"/>
      </w:pPr>
      <w:bookmarkStart w:id="20" w:name="_Toc74317332"/>
      <w:r>
        <w:lastRenderedPageBreak/>
        <w:t>Les dépenses de fonctionnement</w:t>
      </w:r>
      <w:r w:rsidR="00333120">
        <w:t xml:space="preserve"> (</w:t>
      </w:r>
      <w:r w:rsidR="000655E8">
        <w:t>28,3</w:t>
      </w:r>
      <w:r w:rsidR="00333120">
        <w:t xml:space="preserve"> M€)</w:t>
      </w:r>
      <w:bookmarkEnd w:id="20"/>
    </w:p>
    <w:tbl>
      <w:tblPr>
        <w:tblW w:w="1107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377"/>
        <w:gridCol w:w="1340"/>
        <w:gridCol w:w="1340"/>
        <w:gridCol w:w="1340"/>
        <w:gridCol w:w="1291"/>
        <w:gridCol w:w="908"/>
      </w:tblGrid>
      <w:tr w:rsidR="000655E8" w:rsidRPr="00EF6630" w:rsidTr="00EF6630">
        <w:trPr>
          <w:trHeight w:val="300"/>
          <w:jc w:val="center"/>
        </w:trPr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655E8" w:rsidRPr="00EF6630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EF6630">
              <w:rPr>
                <w:rFonts w:eastAsia="Times New Roman" w:cstheme="minorHAnsi"/>
                <w:b/>
                <w:bCs/>
                <w:lang w:eastAsia="fr-FR"/>
              </w:rPr>
              <w:t>Chapitre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EF6630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EF6630">
              <w:rPr>
                <w:rFonts w:eastAsia="Times New Roman" w:cstheme="minorHAnsi"/>
                <w:b/>
                <w:bCs/>
                <w:lang w:eastAsia="fr-FR"/>
              </w:rPr>
              <w:t>BUDGETE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EF6630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EF6630" w:rsidRDefault="00EF6630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>EVOLUTION</w:t>
            </w:r>
          </w:p>
        </w:tc>
      </w:tr>
      <w:tr w:rsidR="000655E8" w:rsidRPr="00EF6630" w:rsidTr="00EF6630">
        <w:trPr>
          <w:trHeight w:val="300"/>
          <w:jc w:val="center"/>
        </w:trPr>
        <w:tc>
          <w:tcPr>
            <w:tcW w:w="4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655E8" w:rsidRPr="00EF6630" w:rsidRDefault="000655E8" w:rsidP="000655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EF6630">
              <w:rPr>
                <w:rFonts w:eastAsia="Times New Roman" w:cstheme="minorHAnsi"/>
                <w:b/>
                <w:bCs/>
                <w:lang w:eastAsia="fr-F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EF6630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EF6630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EF6630">
              <w:rPr>
                <w:rFonts w:eastAsia="Times New Roman" w:cstheme="minorHAnsi"/>
                <w:b/>
                <w:bCs/>
                <w:lang w:eastAsia="fr-FR"/>
              </w:rPr>
              <w:t>2020-2019</w:t>
            </w:r>
          </w:p>
        </w:tc>
      </w:tr>
      <w:tr w:rsidR="000655E8" w:rsidRPr="000655E8" w:rsidTr="000655E8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011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Charges à caractère général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3 821 608 €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5 498 096 €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4 057 942 €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236 334 €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6,2%</w:t>
            </w:r>
          </w:p>
        </w:tc>
      </w:tr>
      <w:tr w:rsidR="000655E8" w:rsidRPr="000655E8" w:rsidTr="000655E8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012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Charges de personnel et frais assimilés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10 994 800 €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12 777 442 €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12 291 602 €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1 296 802 €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11,8%</w:t>
            </w:r>
          </w:p>
        </w:tc>
      </w:tr>
      <w:tr w:rsidR="000655E8" w:rsidRPr="000655E8" w:rsidTr="000655E8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014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Atténuations de produits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2 629 027 €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2 443 803 €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2 443 803 €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-185 224 €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-7,1%</w:t>
            </w:r>
          </w:p>
        </w:tc>
      </w:tr>
      <w:tr w:rsidR="000655E8" w:rsidRPr="000655E8" w:rsidTr="000655E8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023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Virement à la section d'investissement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3 653 421 €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0655E8" w:rsidRPr="000655E8" w:rsidTr="000655E8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042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Opérations d'ordre de transfert entre sections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1 401 634 €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1 783 792 €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1 783 771 €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382 136 €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27,3%</w:t>
            </w:r>
          </w:p>
        </w:tc>
      </w:tr>
      <w:tr w:rsidR="000655E8" w:rsidRPr="000655E8" w:rsidTr="000655E8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65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Autres charges de gestion courante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6 942 942 €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7 297 441 €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6 657 413 €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-285 530 €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-4,1%</w:t>
            </w:r>
          </w:p>
        </w:tc>
      </w:tr>
      <w:tr w:rsidR="000655E8" w:rsidRPr="000655E8" w:rsidTr="000655E8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66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Charges financières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369 358 €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381 090 €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343 429 €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-25 930 €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-7,0%</w:t>
            </w:r>
          </w:p>
        </w:tc>
      </w:tr>
      <w:tr w:rsidR="000655E8" w:rsidRPr="000655E8" w:rsidTr="000655E8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67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Charges exceptionnelles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189 298 €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788 892 €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786 575 €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597 277 €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0655E8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315,5%</w:t>
            </w:r>
          </w:p>
        </w:tc>
      </w:tr>
      <w:tr w:rsidR="000655E8" w:rsidRPr="00EF6630" w:rsidTr="000655E8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 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Total Dépenses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26 348 667 €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34 623 977 €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28 364 534 €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2 015 866 €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5E8" w:rsidRPr="00EF6630" w:rsidRDefault="000655E8" w:rsidP="000655E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7,7%</w:t>
            </w:r>
          </w:p>
        </w:tc>
      </w:tr>
    </w:tbl>
    <w:p w:rsidR="00B077B0" w:rsidRDefault="00B077B0" w:rsidP="00B077B0">
      <w:pPr>
        <w:spacing w:after="0" w:line="240" w:lineRule="auto"/>
      </w:pPr>
      <w:bookmarkStart w:id="21" w:name="_Toc10034204"/>
      <w:bookmarkStart w:id="22" w:name="_Toc10034876"/>
    </w:p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E630B4" w:rsidRDefault="00E630B4" w:rsidP="00875C2B">
      <w:pPr>
        <w:pStyle w:val="Titre3"/>
      </w:pPr>
      <w:bookmarkStart w:id="23" w:name="_Toc74317333"/>
      <w:r>
        <w:t>C</w:t>
      </w:r>
      <w:r w:rsidRPr="00021B19">
        <w:t>h</w:t>
      </w:r>
      <w:r>
        <w:t>apitre 011 :</w:t>
      </w:r>
      <w:r w:rsidRPr="00021B19">
        <w:t xml:space="preserve"> les charges à caractère général par secteur</w:t>
      </w:r>
      <w:bookmarkEnd w:id="21"/>
      <w:bookmarkEnd w:id="22"/>
      <w:r w:rsidR="00333120">
        <w:t xml:space="preserve"> (</w:t>
      </w:r>
      <w:r w:rsidR="000655E8">
        <w:t>4,1</w:t>
      </w:r>
      <w:r w:rsidR="00333120">
        <w:t xml:space="preserve"> M€)</w:t>
      </w:r>
      <w:bookmarkEnd w:id="23"/>
    </w:p>
    <w:p w:rsidR="009B67D1" w:rsidRDefault="00EF6630" w:rsidP="002742D9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0BB92C95" wp14:editId="59F019B5">
            <wp:extent cx="5667375" cy="4067175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D634F" w:rsidRDefault="000D634F" w:rsidP="002742D9">
      <w:pPr>
        <w:spacing w:after="0" w:line="240" w:lineRule="auto"/>
        <w:jc w:val="center"/>
      </w:pPr>
    </w:p>
    <w:p w:rsidR="00864497" w:rsidRPr="00B150FE" w:rsidRDefault="00864497" w:rsidP="0093096C">
      <w:pPr>
        <w:jc w:val="both"/>
      </w:pPr>
      <w:r w:rsidRPr="00B150FE">
        <w:t xml:space="preserve">La </w:t>
      </w:r>
      <w:r w:rsidR="00FC1F18">
        <w:t>variation</w:t>
      </w:r>
      <w:r w:rsidRPr="00B150FE">
        <w:t xml:space="preserve"> entre 201</w:t>
      </w:r>
      <w:r w:rsidR="00B150FE" w:rsidRPr="00B150FE">
        <w:t>9</w:t>
      </w:r>
      <w:r w:rsidRPr="00B150FE">
        <w:t xml:space="preserve"> et 20</w:t>
      </w:r>
      <w:r w:rsidR="00B150FE" w:rsidRPr="00B150FE">
        <w:t>20</w:t>
      </w:r>
      <w:r w:rsidRPr="00B150FE">
        <w:t xml:space="preserve"> (+ </w:t>
      </w:r>
      <w:r w:rsidR="00B150FE" w:rsidRPr="00B150FE">
        <w:t>236</w:t>
      </w:r>
      <w:r w:rsidRPr="00B150FE">
        <w:t xml:space="preserve"> K€) est essentiellement liée :</w:t>
      </w:r>
    </w:p>
    <w:p w:rsidR="00864497" w:rsidRPr="00B150FE" w:rsidRDefault="00864497" w:rsidP="005046DF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</w:pPr>
      <w:r w:rsidRPr="00B150FE">
        <w:t xml:space="preserve">aux </w:t>
      </w:r>
      <w:r w:rsidR="00FC1F18">
        <w:t xml:space="preserve">remboursements des </w:t>
      </w:r>
      <w:r w:rsidRPr="00B150FE">
        <w:t xml:space="preserve">frais </w:t>
      </w:r>
      <w:r w:rsidR="00FC1F18">
        <w:t>liés aux</w:t>
      </w:r>
      <w:r w:rsidRPr="00B150FE">
        <w:t xml:space="preserve"> </w:t>
      </w:r>
      <w:r w:rsidR="00FC1F18">
        <w:t>mutualisations</w:t>
      </w:r>
      <w:r w:rsidRPr="00B150FE">
        <w:t xml:space="preserve"> (+</w:t>
      </w:r>
      <w:r w:rsidR="00B150FE" w:rsidRPr="00B150FE">
        <w:t>89</w:t>
      </w:r>
      <w:r w:rsidRPr="00B150FE">
        <w:t xml:space="preserve"> K€), </w:t>
      </w:r>
    </w:p>
    <w:p w:rsidR="00B150FE" w:rsidRDefault="00B150FE" w:rsidP="005046DF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</w:pPr>
      <w:r w:rsidRPr="00B150FE">
        <w:t xml:space="preserve">aux dépenses </w:t>
      </w:r>
      <w:r w:rsidR="00FC1F18">
        <w:t>d’entretien du réseau</w:t>
      </w:r>
      <w:r w:rsidRPr="00B150FE">
        <w:t xml:space="preserve"> pluvial</w:t>
      </w:r>
      <w:r w:rsidR="00FC1F18">
        <w:t xml:space="preserve"> des communes</w:t>
      </w:r>
      <w:r w:rsidRPr="00B150FE">
        <w:t xml:space="preserve"> (+265 K€)</w:t>
      </w:r>
      <w:r w:rsidR="00864497" w:rsidRPr="00B150FE">
        <w:t xml:space="preserve">, </w:t>
      </w:r>
    </w:p>
    <w:p w:rsidR="00DA2A75" w:rsidRDefault="00DA2A75" w:rsidP="005046DF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</w:pPr>
      <w:r>
        <w:t>aux dépenses liées à la crise (</w:t>
      </w:r>
      <w:r w:rsidR="00847425">
        <w:t>+</w:t>
      </w:r>
      <w:r>
        <w:t xml:space="preserve">332 K€), essentiellement </w:t>
      </w:r>
      <w:r w:rsidR="00FC1F18">
        <w:t xml:space="preserve">l’achat </w:t>
      </w:r>
      <w:r>
        <w:t>des masques</w:t>
      </w:r>
      <w:r w:rsidR="00FC1F18">
        <w:t xml:space="preserve"> distribués</w:t>
      </w:r>
      <w:r>
        <w:t>,</w:t>
      </w:r>
    </w:p>
    <w:p w:rsidR="00480970" w:rsidRDefault="00480970" w:rsidP="005046DF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</w:pPr>
      <w:r>
        <w:t xml:space="preserve">à la réduction de certaines dépenses : liaisons fluviales, lutte contre les ragondins, </w:t>
      </w:r>
      <w:proofErr w:type="spellStart"/>
      <w:r>
        <w:t>gémapi</w:t>
      </w:r>
      <w:proofErr w:type="spellEnd"/>
      <w:r>
        <w:t>… (- 563 K€),</w:t>
      </w:r>
    </w:p>
    <w:p w:rsidR="000A0567" w:rsidRDefault="00FC1F18" w:rsidP="000A0567">
      <w:pPr>
        <w:pStyle w:val="Paragraphedeliste"/>
        <w:numPr>
          <w:ilvl w:val="0"/>
          <w:numId w:val="2"/>
        </w:numPr>
        <w:spacing w:after="240"/>
        <w:jc w:val="both"/>
      </w:pPr>
      <w:r>
        <w:lastRenderedPageBreak/>
        <w:t>aux économies réalisées par l</w:t>
      </w:r>
      <w:r w:rsidR="00F47122">
        <w:t>a suspension des ac</w:t>
      </w:r>
      <w:r>
        <w:t xml:space="preserve">tivités à cause de la crise sanitaire </w:t>
      </w:r>
      <w:r w:rsidR="004D36C0">
        <w:t>(</w:t>
      </w:r>
      <w:r w:rsidR="00F47122">
        <w:t>activités nautiques scolaires…).</w:t>
      </w:r>
    </w:p>
    <w:p w:rsidR="00110B63" w:rsidRPr="00DA2A75" w:rsidRDefault="00110B63" w:rsidP="00110B63">
      <w:pPr>
        <w:pStyle w:val="Paragraphedeliste"/>
        <w:spacing w:after="240"/>
        <w:jc w:val="both"/>
      </w:pPr>
    </w:p>
    <w:tbl>
      <w:tblPr>
        <w:tblW w:w="8147" w:type="dxa"/>
        <w:jc w:val="center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6252"/>
        <w:gridCol w:w="1628"/>
      </w:tblGrid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EF6630" w:rsidRPr="00EF6630" w:rsidRDefault="00EF6630" w:rsidP="00EF6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F6630" w:rsidRPr="00EF6630" w:rsidRDefault="00EF6630" w:rsidP="00EF6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Mandaté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Administration générale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1 138 089 €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Mutualisation des services ressources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318 971 €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Informatique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237 539 €</w:t>
            </w:r>
          </w:p>
        </w:tc>
      </w:tr>
      <w:tr w:rsidR="00EF6630" w:rsidRPr="00DA2A7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EF6630" w:rsidRPr="00DA2A7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808080" w:themeColor="background1" w:themeShade="80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Maintenance informatique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115 951 €</w:t>
            </w:r>
          </w:p>
        </w:tc>
      </w:tr>
      <w:tr w:rsidR="00EF6630" w:rsidRPr="00DA2A7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EF6630" w:rsidRPr="00DA2A7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808080" w:themeColor="background1" w:themeShade="80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Téléphonie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83 986 €</w:t>
            </w:r>
          </w:p>
        </w:tc>
      </w:tr>
      <w:tr w:rsidR="00EF6630" w:rsidRPr="00DA2A7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EF6630" w:rsidRPr="00DA2A7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808080" w:themeColor="background1" w:themeShade="80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Bureautique / Copieurs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37 602 €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 xml:space="preserve">Entretien </w:t>
            </w:r>
            <w:r w:rsidR="002C6275">
              <w:rPr>
                <w:rFonts w:ascii="Calibri" w:eastAsia="Times New Roman" w:hAnsi="Calibri" w:cs="Calibri"/>
                <w:lang w:eastAsia="fr-FR"/>
              </w:rPr>
              <w:t xml:space="preserve">des </w:t>
            </w:r>
            <w:r w:rsidRPr="00EF6630">
              <w:rPr>
                <w:rFonts w:ascii="Calibri" w:eastAsia="Times New Roman" w:hAnsi="Calibri" w:cs="Calibri"/>
                <w:lang w:eastAsia="fr-FR"/>
              </w:rPr>
              <w:t>bâtiments &amp; véhicules</w:t>
            </w:r>
            <w:r w:rsidR="002C6275">
              <w:rPr>
                <w:rFonts w:ascii="Calibri" w:eastAsia="Times New Roman" w:hAnsi="Calibri" w:cs="Calibri"/>
                <w:lang w:eastAsia="fr-FR"/>
              </w:rPr>
              <w:t xml:space="preserve"> communautaires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186 799 €</w:t>
            </w:r>
          </w:p>
        </w:tc>
      </w:tr>
      <w:tr w:rsidR="00B1360B" w:rsidRPr="00EF6630" w:rsidTr="00327894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B1360B" w:rsidRPr="00EF6630" w:rsidRDefault="00B1360B" w:rsidP="003278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0B" w:rsidRPr="00EF6630" w:rsidRDefault="00B1360B" w:rsidP="0032789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Assurances &amp; fonciers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0B" w:rsidRPr="00EF6630" w:rsidRDefault="00B1360B" w:rsidP="00327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109 885</w:t>
            </w:r>
            <w:r w:rsidRPr="00EF6630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Achats &amp; frais généraux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85 160 €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Ressources Humaines (formations, frais de déplacement…)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80 756 €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Communication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61 488 €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Affaires juridiques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55 747 €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Divers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1 743 €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GEMAPI &amp; Pluvial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756 629 €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Pluvial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442 827 €</w:t>
            </w:r>
          </w:p>
        </w:tc>
      </w:tr>
      <w:tr w:rsidR="00847425" w:rsidRPr="0084742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84742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595959" w:themeColor="text1" w:themeTint="A6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Pluvial - hors Rochefort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342 200 €</w:t>
            </w:r>
          </w:p>
        </w:tc>
      </w:tr>
      <w:tr w:rsidR="00847425" w:rsidRPr="0084742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84742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595959" w:themeColor="text1" w:themeTint="A6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B1462C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 xml:space="preserve">Pluvial </w:t>
            </w:r>
            <w:r w:rsidR="00B1462C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–</w:t>
            </w: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 xml:space="preserve"> </w:t>
            </w:r>
            <w:r w:rsidR="00B1462C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fournitures diverses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62 307 €</w:t>
            </w:r>
          </w:p>
        </w:tc>
      </w:tr>
      <w:tr w:rsidR="00847425" w:rsidRPr="0084742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84742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595959" w:themeColor="text1" w:themeTint="A6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Pluvial - Rochefort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38 320 €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DD6999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GEMAPI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313 802 €</w:t>
            </w:r>
          </w:p>
        </w:tc>
      </w:tr>
      <w:tr w:rsidR="00847425" w:rsidRPr="0084742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84742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595959" w:themeColor="text1" w:themeTint="A6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SMCA - bassin versant Nord Rochefort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72 520 €</w:t>
            </w:r>
          </w:p>
        </w:tc>
      </w:tr>
      <w:tr w:rsidR="00847425" w:rsidRPr="0084742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84742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595959" w:themeColor="text1" w:themeTint="A6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SMCA</w:t>
            </w:r>
            <w:r w:rsidR="00B1462C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 xml:space="preserve"> – frais communs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70 970 €</w:t>
            </w:r>
          </w:p>
        </w:tc>
      </w:tr>
      <w:tr w:rsidR="00847425" w:rsidRPr="0084742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84742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595959" w:themeColor="text1" w:themeTint="A6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SMCA - bassin versant Brouage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32 970 €</w:t>
            </w:r>
          </w:p>
        </w:tc>
      </w:tr>
      <w:tr w:rsidR="00847425" w:rsidRPr="0084742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84742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595959" w:themeColor="text1" w:themeTint="A6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 xml:space="preserve">Cotisations </w:t>
            </w:r>
            <w:proofErr w:type="spellStart"/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Sylicaf</w:t>
            </w:r>
            <w:proofErr w:type="spellEnd"/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 xml:space="preserve"> - </w:t>
            </w:r>
            <w:proofErr w:type="spellStart"/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symbo</w:t>
            </w:r>
            <w:proofErr w:type="spellEnd"/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…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28 662 €</w:t>
            </w:r>
          </w:p>
        </w:tc>
      </w:tr>
      <w:tr w:rsidR="00847425" w:rsidRPr="0084742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84742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595959" w:themeColor="text1" w:themeTint="A6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LPO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25 000 €</w:t>
            </w:r>
          </w:p>
        </w:tc>
      </w:tr>
      <w:tr w:rsidR="00847425" w:rsidRPr="0084742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84742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595959" w:themeColor="text1" w:themeTint="A6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SMCA - Vallée de la Charente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23 520 €</w:t>
            </w:r>
          </w:p>
        </w:tc>
      </w:tr>
      <w:tr w:rsidR="00847425" w:rsidRPr="0084742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84742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595959" w:themeColor="text1" w:themeTint="A6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Curage des fossés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18 720 €</w:t>
            </w:r>
          </w:p>
        </w:tc>
      </w:tr>
      <w:tr w:rsidR="00847425" w:rsidRPr="0084742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84742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595959" w:themeColor="text1" w:themeTint="A6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 xml:space="preserve">Lutte contre la </w:t>
            </w:r>
            <w:proofErr w:type="spellStart"/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jussie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15 133 €</w:t>
            </w:r>
          </w:p>
        </w:tc>
      </w:tr>
      <w:tr w:rsidR="00847425" w:rsidRPr="0084742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84742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595959" w:themeColor="text1" w:themeTint="A6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Divers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11 765 €</w:t>
            </w:r>
          </w:p>
        </w:tc>
      </w:tr>
      <w:tr w:rsidR="00847425" w:rsidRPr="0084742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84742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595959" w:themeColor="text1" w:themeTint="A6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PAPI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10 402 €</w:t>
            </w:r>
          </w:p>
        </w:tc>
      </w:tr>
      <w:tr w:rsidR="00847425" w:rsidRPr="00847425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EF6630" w:rsidRPr="00847425" w:rsidRDefault="00EF6630" w:rsidP="00EF663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595959" w:themeColor="text1" w:themeTint="A6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DD6999">
            <w:pPr>
              <w:spacing w:after="0" w:line="240" w:lineRule="auto"/>
              <w:ind w:firstLineChars="684" w:firstLine="1505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Lutte contre les ragondins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847425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</w:pPr>
            <w:r w:rsidRPr="00847425">
              <w:rPr>
                <w:rFonts w:ascii="Calibri" w:eastAsia="Times New Roman" w:hAnsi="Calibri" w:cs="Calibri"/>
                <w:i/>
                <w:color w:val="595959" w:themeColor="text1" w:themeTint="A6"/>
                <w:lang w:eastAsia="fr-FR"/>
              </w:rPr>
              <w:t>4 141 €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Culture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478 521 €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Réseau lecture publique et médiathèques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333 650 €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Musiques actuelles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69 271 €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Conservatoire de musique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55 506 €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Education artistique et culturelle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17 469 €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Divers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2 626 €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Habitat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363 810 €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OPAH - réhabilitation de logements privés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263 127 €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Aires de gens du voyage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73 682 €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Convention de gestion des logements sociaux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16 431 €</w:t>
            </w:r>
          </w:p>
        </w:tc>
      </w:tr>
      <w:tr w:rsidR="00847425" w:rsidRPr="00EF6630" w:rsidTr="00465C26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PLH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2 700 €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Divers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7 871 €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:rsidR="00EF6630" w:rsidRPr="00EF6630" w:rsidRDefault="00EF6630" w:rsidP="00B077B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Sports &amp; nautisme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343 395 €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Liaisons fluviales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115 671 €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Fort Boyard Challenge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103 184 €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Activités nautiques scolaires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86 864 €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France Station Nautique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10 684 €</w:t>
            </w:r>
          </w:p>
        </w:tc>
      </w:tr>
      <w:tr w:rsidR="00847425" w:rsidRPr="00EF6630" w:rsidTr="00465C26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Pontons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8 532 €</w:t>
            </w:r>
          </w:p>
        </w:tc>
      </w:tr>
      <w:tr w:rsidR="00847425" w:rsidRPr="00EF6630" w:rsidTr="00465C26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Politique sport santé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8 140 €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Divers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10 319 €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Tourisme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334 244 €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Pont Transbordeur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138 098 €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Grand Site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84 001 €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Concours architecte EUROPAN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34 630 €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Plan Qualité touristique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22 668 €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Appel à projets expérimentations élevages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14 227 €</w:t>
            </w:r>
          </w:p>
        </w:tc>
      </w:tr>
      <w:tr w:rsidR="00847425" w:rsidRPr="00EF6630" w:rsidTr="00465C26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Grands projets Marais de Brouage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10 039 €</w:t>
            </w:r>
          </w:p>
        </w:tc>
      </w:tr>
      <w:tr w:rsidR="00847425" w:rsidRPr="00EF6630" w:rsidTr="00465C26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Pistes cyclables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8 881 €</w:t>
            </w:r>
          </w:p>
        </w:tc>
      </w:tr>
      <w:tr w:rsidR="00847425" w:rsidRPr="00EF6630" w:rsidTr="00465C26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Fête de la nature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8 500 €</w:t>
            </w:r>
          </w:p>
        </w:tc>
      </w:tr>
      <w:tr w:rsidR="00847425" w:rsidRPr="00EF6630" w:rsidTr="00465C26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Signalétique touristique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1 320 €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Divers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11 880 €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Santé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332 358 €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Crise Sanitaire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330 765 €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Lutte contre les déserts médicaux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1 593 €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Actions économiques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249 035 €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Mission locale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127 170 €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Maison de l'emploi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110 486 €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Programme Alimentaire Territorialisé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7 464 €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 xml:space="preserve">Challenge </w:t>
            </w:r>
            <w:r w:rsidR="00DD6999" w:rsidRPr="00EF6630">
              <w:rPr>
                <w:rFonts w:ascii="Calibri" w:eastAsia="Times New Roman" w:hAnsi="Calibri" w:cs="Calibri"/>
                <w:lang w:eastAsia="fr-FR"/>
              </w:rPr>
              <w:t>inter-entreprises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2 592 €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Divers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1 324 €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Environnement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61 861 €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Contrat de Transition Ecologique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26 028 €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Espace nature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15 724 €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Actions plan climat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8 528 €</w:t>
            </w:r>
          </w:p>
        </w:tc>
      </w:tr>
      <w:tr w:rsidR="00847425" w:rsidRPr="00EF6630" w:rsidTr="00465C26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Point Info Energie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4 444 €</w:t>
            </w:r>
          </w:p>
        </w:tc>
      </w:tr>
      <w:tr w:rsidR="00847425" w:rsidRPr="00EF6630" w:rsidTr="00465C26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EF6630">
              <w:rPr>
                <w:rFonts w:ascii="Calibri" w:eastAsia="Times New Roman" w:hAnsi="Calibri" w:cs="Calibri"/>
                <w:lang w:eastAsia="fr-FR"/>
              </w:rPr>
              <w:t>Natura</w:t>
            </w:r>
            <w:proofErr w:type="spellEnd"/>
            <w:r w:rsidRPr="00EF6630">
              <w:rPr>
                <w:rFonts w:ascii="Calibri" w:eastAsia="Times New Roman" w:hAnsi="Calibri" w:cs="Calibri"/>
                <w:lang w:eastAsia="fr-FR"/>
              </w:rPr>
              <w:t xml:space="preserve"> 2000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25" w:rsidRPr="00EF6630" w:rsidRDefault="00847425" w:rsidP="00465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2 000 €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Divers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lang w:eastAsia="fr-FR"/>
              </w:rPr>
              <w:t>5 138 €</w:t>
            </w:r>
          </w:p>
        </w:tc>
      </w:tr>
      <w:tr w:rsidR="00EF6630" w:rsidRPr="00EF6630" w:rsidTr="00174811">
        <w:trPr>
          <w:trHeight w:val="300"/>
          <w:jc w:val="center"/>
        </w:trPr>
        <w:tc>
          <w:tcPr>
            <w:tcW w:w="26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</w:tcPr>
          <w:p w:rsidR="00EF6630" w:rsidRPr="00EF6630" w:rsidRDefault="00EF6630" w:rsidP="00EF6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252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16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F6630" w:rsidRPr="00EF6630" w:rsidRDefault="00EF6630" w:rsidP="00EF6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4 057 942 €</w:t>
            </w:r>
          </w:p>
        </w:tc>
      </w:tr>
    </w:tbl>
    <w:p w:rsidR="00B077B0" w:rsidRDefault="00B077B0" w:rsidP="00B077B0">
      <w:pPr>
        <w:spacing w:after="0" w:line="240" w:lineRule="auto"/>
      </w:pPr>
      <w:bookmarkStart w:id="24" w:name="_Toc10034205"/>
      <w:bookmarkStart w:id="25" w:name="_Toc10034877"/>
    </w:p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E630B4" w:rsidRDefault="00E630B4" w:rsidP="00875C2B">
      <w:pPr>
        <w:pStyle w:val="Titre3"/>
      </w:pPr>
      <w:bookmarkStart w:id="26" w:name="_Toc74317334"/>
      <w:r w:rsidRPr="00751DE4">
        <w:t>Chapitre 012 : les charges de personnel</w:t>
      </w:r>
      <w:bookmarkEnd w:id="24"/>
      <w:bookmarkEnd w:id="25"/>
      <w:r w:rsidR="00333120">
        <w:t xml:space="preserve"> (1</w:t>
      </w:r>
      <w:r w:rsidR="000655E8">
        <w:t>2,3</w:t>
      </w:r>
      <w:r w:rsidR="00333120">
        <w:t xml:space="preserve"> M€)</w:t>
      </w:r>
      <w:bookmarkEnd w:id="26"/>
    </w:p>
    <w:p w:rsidR="0056681D" w:rsidRPr="0056681D" w:rsidRDefault="00DA2A75" w:rsidP="0093096C">
      <w:pPr>
        <w:jc w:val="both"/>
      </w:pPr>
      <w:r w:rsidRPr="0056681D">
        <w:t>L’augmentation des dépenses (+12%) du chapitre 012 en 2020 par rapport à l’année 2019 est essentiellement liée à la mutualisation des services techniques et des archives au 1</w:t>
      </w:r>
      <w:r w:rsidRPr="0093096C">
        <w:t>er</w:t>
      </w:r>
      <w:r w:rsidRPr="0056681D">
        <w:t xml:space="preserve"> janvier 2020.</w:t>
      </w:r>
      <w:r w:rsidR="0056681D" w:rsidRPr="0056681D">
        <w:t xml:space="preserve"> Ces dépenses nouvelles sont </w:t>
      </w:r>
      <w:r w:rsidR="00C972BB">
        <w:t>intégralement remboursées par la Ville de Rochefort via</w:t>
      </w:r>
      <w:r w:rsidR="0056681D" w:rsidRPr="0056681D">
        <w:t xml:space="preserve"> l’attribution de compensation.</w:t>
      </w:r>
    </w:p>
    <w:p w:rsidR="00DA2A75" w:rsidRPr="0056681D" w:rsidRDefault="0056681D" w:rsidP="0093096C">
      <w:pPr>
        <w:jc w:val="both"/>
      </w:pPr>
      <w:r>
        <w:t>24 agents ont été concernés par cette mutualisation.</w:t>
      </w:r>
    </w:p>
    <w:p w:rsidR="00AC7955" w:rsidRPr="00DA2A75" w:rsidRDefault="00AC7955" w:rsidP="0093096C">
      <w:pPr>
        <w:jc w:val="both"/>
      </w:pPr>
      <w:r w:rsidRPr="00DA2A75">
        <w:t xml:space="preserve">Les charges de personnel </w:t>
      </w:r>
      <w:r w:rsidR="00DD6999" w:rsidRPr="00DA2A75">
        <w:t>se répartissent</w:t>
      </w:r>
      <w:r w:rsidR="0044520D" w:rsidRPr="00DA2A75">
        <w:t xml:space="preserve"> </w:t>
      </w:r>
      <w:r w:rsidR="00C972BB">
        <w:t xml:space="preserve">par secteurs </w:t>
      </w:r>
      <w:r w:rsidR="0044520D" w:rsidRPr="00DA2A75">
        <w:t>de la manière suivante :</w:t>
      </w:r>
    </w:p>
    <w:p w:rsidR="00AC7955" w:rsidRDefault="0044520D" w:rsidP="00AC7955">
      <w:pPr>
        <w:spacing w:after="0" w:line="240" w:lineRule="auto"/>
        <w:jc w:val="both"/>
        <w:rPr>
          <w:color w:val="FF0000"/>
        </w:rPr>
      </w:pPr>
      <w:r>
        <w:rPr>
          <w:noProof/>
          <w:lang w:eastAsia="fr-FR"/>
        </w:rPr>
        <w:lastRenderedPageBreak/>
        <w:drawing>
          <wp:inline distT="0" distB="0" distL="0" distR="0" wp14:anchorId="2BCC1740" wp14:editId="4FA4B529">
            <wp:extent cx="5819775" cy="3571875"/>
            <wp:effectExtent l="0" t="0" r="0" b="0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077B0" w:rsidRDefault="00B077B0" w:rsidP="00B077B0">
      <w:pPr>
        <w:spacing w:after="0" w:line="240" w:lineRule="auto"/>
      </w:pPr>
      <w:bookmarkStart w:id="27" w:name="_Toc10034206"/>
      <w:bookmarkStart w:id="28" w:name="_Toc10034878"/>
    </w:p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E630B4" w:rsidRDefault="00E630B4" w:rsidP="00875C2B">
      <w:pPr>
        <w:pStyle w:val="Titre3"/>
      </w:pPr>
      <w:bookmarkStart w:id="29" w:name="_Toc74317335"/>
      <w:r>
        <w:t>C</w:t>
      </w:r>
      <w:r w:rsidRPr="00021B19">
        <w:t>h</w:t>
      </w:r>
      <w:r>
        <w:t>apitre 014 :</w:t>
      </w:r>
      <w:r w:rsidRPr="00021B19">
        <w:t xml:space="preserve"> l</w:t>
      </w:r>
      <w:r>
        <w:t>es atténuations de produits</w:t>
      </w:r>
      <w:bookmarkEnd w:id="27"/>
      <w:bookmarkEnd w:id="28"/>
      <w:r w:rsidR="00333120">
        <w:t xml:space="preserve"> (2,</w:t>
      </w:r>
      <w:r w:rsidR="000655E8">
        <w:t>4</w:t>
      </w:r>
      <w:r w:rsidR="00333120">
        <w:t xml:space="preserve"> M€)</w:t>
      </w:r>
      <w:bookmarkEnd w:id="29"/>
    </w:p>
    <w:p w:rsidR="00C972BB" w:rsidRDefault="00AC7955" w:rsidP="0093096C">
      <w:pPr>
        <w:jc w:val="both"/>
      </w:pPr>
      <w:r w:rsidRPr="00AF7055">
        <w:t>Ce chapitre regroupe</w:t>
      </w:r>
      <w:r w:rsidR="00C972BB">
        <w:t> :</w:t>
      </w:r>
    </w:p>
    <w:p w:rsidR="00AC7955" w:rsidRPr="00AF7055" w:rsidRDefault="00AC7955" w:rsidP="00C972BB">
      <w:pPr>
        <w:pStyle w:val="Paragraphedeliste"/>
        <w:numPr>
          <w:ilvl w:val="0"/>
          <w:numId w:val="14"/>
        </w:numPr>
        <w:ind w:left="714" w:hanging="357"/>
        <w:contextualSpacing w:val="0"/>
        <w:jc w:val="both"/>
      </w:pPr>
      <w:r w:rsidRPr="00AF7055">
        <w:t xml:space="preserve">le </w:t>
      </w:r>
      <w:r w:rsidR="00C972BB">
        <w:t>F</w:t>
      </w:r>
      <w:r w:rsidRPr="00AF7055">
        <w:t xml:space="preserve">onds </w:t>
      </w:r>
      <w:r w:rsidR="00C972BB">
        <w:t>N</w:t>
      </w:r>
      <w:r w:rsidRPr="00AF7055">
        <w:t xml:space="preserve">ational de </w:t>
      </w:r>
      <w:r w:rsidR="00C972BB">
        <w:t>G</w:t>
      </w:r>
      <w:r w:rsidRPr="00AF7055">
        <w:t xml:space="preserve">arantie </w:t>
      </w:r>
      <w:r w:rsidR="00C972BB">
        <w:t>I</w:t>
      </w:r>
      <w:r w:rsidRPr="00AF7055">
        <w:t xml:space="preserve">ndividuelle des </w:t>
      </w:r>
      <w:r w:rsidR="00C972BB">
        <w:t>R</w:t>
      </w:r>
      <w:r w:rsidRPr="00AF7055">
        <w:t>essources (FNGIR)</w:t>
      </w:r>
      <w:r w:rsidR="00C972BB">
        <w:t>,</w:t>
      </w:r>
      <w:r w:rsidRPr="00AF7055">
        <w:t xml:space="preserve"> institué pour compenser les incidences de la réforme de la taxe professionnelle, figé à hauteur de 860 K€</w:t>
      </w:r>
      <w:r w:rsidR="00C972BB">
        <w:t xml:space="preserve"> pour la CARO depuis 2014</w:t>
      </w:r>
      <w:r w:rsidRPr="00AF7055">
        <w:t xml:space="preserve">. </w:t>
      </w:r>
    </w:p>
    <w:p w:rsidR="00E630B4" w:rsidRPr="000F3D3A" w:rsidRDefault="00C972BB" w:rsidP="0093096C">
      <w:pPr>
        <w:pStyle w:val="Paragraphedeliste"/>
        <w:numPr>
          <w:ilvl w:val="0"/>
          <w:numId w:val="14"/>
        </w:numPr>
        <w:ind w:left="714" w:hanging="357"/>
        <w:contextualSpacing w:val="0"/>
        <w:jc w:val="both"/>
      </w:pPr>
      <w:r w:rsidRPr="00AF7055">
        <w:t xml:space="preserve">les </w:t>
      </w:r>
      <w:r>
        <w:t>A</w:t>
      </w:r>
      <w:r w:rsidRPr="00AF7055">
        <w:t xml:space="preserve">ttributions de </w:t>
      </w:r>
      <w:r>
        <w:t>C</w:t>
      </w:r>
      <w:r w:rsidRPr="00AF7055">
        <w:t>om</w:t>
      </w:r>
      <w:r>
        <w:t>pensations (AC) versées par la CARO aux communes membres, établies par l</w:t>
      </w:r>
      <w:r w:rsidR="00AC7955" w:rsidRPr="004104BD">
        <w:t xml:space="preserve">a Commission Locale d’Évaluation des Charges Transférées </w:t>
      </w:r>
      <w:r>
        <w:t xml:space="preserve">(CLECT) </w:t>
      </w:r>
      <w:r w:rsidR="00AC7955" w:rsidRPr="004104BD">
        <w:t xml:space="preserve">du </w:t>
      </w:r>
      <w:r w:rsidR="004104BD" w:rsidRPr="004104BD">
        <w:t>6 novembre 2020</w:t>
      </w:r>
      <w:r w:rsidR="00AC7955" w:rsidRPr="004104BD">
        <w:t xml:space="preserve"> en fonction des nouvelles charges transférées en 20</w:t>
      </w:r>
      <w:r w:rsidR="004104BD" w:rsidRPr="004104BD">
        <w:t>20</w:t>
      </w:r>
      <w:r w:rsidR="00AC7955" w:rsidRPr="004104BD">
        <w:t>.</w:t>
      </w:r>
      <w:r>
        <w:t xml:space="preserve"> Pour rappel, l</w:t>
      </w:r>
      <w:r w:rsidR="00AC7955" w:rsidRPr="000F3D3A">
        <w:t xml:space="preserve">e solde des </w:t>
      </w:r>
      <w:r w:rsidR="00772096" w:rsidRPr="000F3D3A">
        <w:t>attributions de compensation</w:t>
      </w:r>
      <w:r w:rsidR="00AC7955" w:rsidRPr="000F3D3A">
        <w:t xml:space="preserve"> 20</w:t>
      </w:r>
      <w:r w:rsidR="000F3D3A" w:rsidRPr="000F3D3A">
        <w:t>20</w:t>
      </w:r>
      <w:r w:rsidR="00AC7955" w:rsidRPr="000F3D3A">
        <w:t xml:space="preserve"> se répartit entre </w:t>
      </w:r>
      <w:r w:rsidR="000F3D3A" w:rsidRPr="000F3D3A">
        <w:t>1 154</w:t>
      </w:r>
      <w:r w:rsidR="00AC7955" w:rsidRPr="000F3D3A">
        <w:t xml:space="preserve"> K€ d’AC positives </w:t>
      </w:r>
      <w:r>
        <w:t xml:space="preserve">(dépenses pour la CARO) </w:t>
      </w:r>
      <w:r w:rsidR="00AC7955" w:rsidRPr="000F3D3A">
        <w:t xml:space="preserve">et </w:t>
      </w:r>
      <w:r w:rsidR="000F3D3A" w:rsidRPr="000F3D3A">
        <w:t>1 569</w:t>
      </w:r>
      <w:r w:rsidR="00AC7955" w:rsidRPr="000F3D3A">
        <w:t xml:space="preserve"> K€ d’AC négatives (recettes pour la CARO).</w:t>
      </w:r>
    </w:p>
    <w:p w:rsidR="00E630B4" w:rsidRDefault="00E630B4" w:rsidP="00875C2B">
      <w:pPr>
        <w:pStyle w:val="Titre3"/>
      </w:pPr>
      <w:bookmarkStart w:id="30" w:name="_Toc10034207"/>
      <w:bookmarkStart w:id="31" w:name="_Toc10034879"/>
      <w:bookmarkStart w:id="32" w:name="_Toc74317336"/>
      <w:r w:rsidRPr="00922735">
        <w:lastRenderedPageBreak/>
        <w:t>Chapitre 65</w:t>
      </w:r>
      <w:r>
        <w:t> :</w:t>
      </w:r>
      <w:r w:rsidRPr="00922735">
        <w:t xml:space="preserve"> les subventions</w:t>
      </w:r>
      <w:r>
        <w:t xml:space="preserve"> versées</w:t>
      </w:r>
      <w:bookmarkEnd w:id="30"/>
      <w:bookmarkEnd w:id="31"/>
      <w:r w:rsidR="00333120">
        <w:t xml:space="preserve"> (6,</w:t>
      </w:r>
      <w:r w:rsidR="000655E8">
        <w:t>7</w:t>
      </w:r>
      <w:r w:rsidR="00333120">
        <w:t xml:space="preserve"> M€)</w:t>
      </w:r>
      <w:bookmarkEnd w:id="32"/>
    </w:p>
    <w:p w:rsidR="009B67D1" w:rsidRDefault="0044520D" w:rsidP="003130D0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4DF3BDAB" wp14:editId="1AC02C2E">
            <wp:extent cx="5067300" cy="3352800"/>
            <wp:effectExtent l="0" t="0" r="0" b="0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4AB4" w:rsidRDefault="00ED4AB4" w:rsidP="003130D0">
      <w:pPr>
        <w:spacing w:after="0" w:line="240" w:lineRule="auto"/>
        <w:jc w:val="center"/>
      </w:pPr>
    </w:p>
    <w:p w:rsidR="00AC582F" w:rsidRPr="0044520D" w:rsidRDefault="00AC582F" w:rsidP="0093096C">
      <w:pPr>
        <w:jc w:val="both"/>
      </w:pPr>
      <w:r w:rsidRPr="0044520D">
        <w:t xml:space="preserve">La CARO a participé </w:t>
      </w:r>
      <w:r w:rsidR="00920761" w:rsidRPr="0044520D">
        <w:t xml:space="preserve">pour </w:t>
      </w:r>
      <w:r w:rsidR="0044520D" w:rsidRPr="0044520D">
        <w:t xml:space="preserve">778 </w:t>
      </w:r>
      <w:r w:rsidR="00920761" w:rsidRPr="0044520D">
        <w:t xml:space="preserve">K€ (contre </w:t>
      </w:r>
      <w:r w:rsidR="0044520D" w:rsidRPr="0044520D">
        <w:t xml:space="preserve">752 </w:t>
      </w:r>
      <w:r w:rsidR="00920761" w:rsidRPr="0044520D">
        <w:t>K€ en 201</w:t>
      </w:r>
      <w:r w:rsidR="0044520D" w:rsidRPr="0044520D">
        <w:t>9</w:t>
      </w:r>
      <w:r w:rsidR="00920761" w:rsidRPr="0044520D">
        <w:t xml:space="preserve">) </w:t>
      </w:r>
      <w:r w:rsidRPr="0044520D">
        <w:t xml:space="preserve">aux projets culturels, sportifs, solidaires </w:t>
      </w:r>
      <w:r w:rsidR="00926DF3" w:rsidRPr="0044520D">
        <w:t>et</w:t>
      </w:r>
      <w:r w:rsidRPr="0044520D">
        <w:t xml:space="preserve"> environnementaux en accordant des subventions de fonctionnement au</w:t>
      </w:r>
      <w:r w:rsidR="00926DF3" w:rsidRPr="0044520D">
        <w:t>x</w:t>
      </w:r>
      <w:r w:rsidRPr="0044520D">
        <w:t xml:space="preserve"> secteur</w:t>
      </w:r>
      <w:r w:rsidR="00926DF3" w:rsidRPr="0044520D">
        <w:t>s</w:t>
      </w:r>
      <w:r w:rsidRPr="0044520D">
        <w:t xml:space="preserve"> associatifs et aux communes comme suit :</w:t>
      </w:r>
    </w:p>
    <w:tbl>
      <w:tblPr>
        <w:tblW w:w="5421" w:type="dxa"/>
        <w:jc w:val="center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381"/>
      </w:tblGrid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44520D" w:rsidRPr="0044520D" w:rsidRDefault="0044520D" w:rsidP="00AF7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Mandaté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Culture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119 200 €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Solidarité territoriale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96 300 €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Politique de la Ville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86 917 €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44520D">
              <w:rPr>
                <w:rFonts w:ascii="Calibri" w:eastAsia="Times New Roman" w:hAnsi="Calibri" w:cs="Calibri"/>
                <w:lang w:eastAsia="fr-FR"/>
              </w:rPr>
              <w:t>Altéa</w:t>
            </w:r>
            <w:proofErr w:type="spellEnd"/>
            <w:r w:rsidRPr="0044520D">
              <w:rPr>
                <w:rFonts w:ascii="Calibri" w:eastAsia="Times New Roman" w:hAnsi="Calibri" w:cs="Calibri"/>
                <w:lang w:eastAsia="fr-FR"/>
              </w:rPr>
              <w:t xml:space="preserve"> Cabestan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68 600 €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Mission locale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61 442 €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Aides aux festivals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58 062 €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Tour de France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50 000 €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Sports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49 043 €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44520D">
              <w:rPr>
                <w:rFonts w:ascii="Calibri" w:eastAsia="Times New Roman" w:hAnsi="Calibri" w:cs="Calibri"/>
                <w:lang w:eastAsia="fr-FR"/>
              </w:rPr>
              <w:t>Stéréoparc</w:t>
            </w:r>
            <w:proofErr w:type="spellEnd"/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45 000 €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Environnement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44 186 €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Tourisme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28 115 €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PAPI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24 173 €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Aires de gens du voyage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17 000 €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Habitat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10 809 €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Actions économiques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9 945 €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Amicale du personnel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lang w:eastAsia="fr-FR"/>
              </w:rPr>
              <w:t>9 570 €</w:t>
            </w:r>
          </w:p>
        </w:tc>
      </w:tr>
      <w:tr w:rsidR="0044520D" w:rsidRPr="0044520D" w:rsidTr="0044520D">
        <w:trPr>
          <w:trHeight w:val="300"/>
          <w:jc w:val="center"/>
        </w:trPr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44520D" w:rsidRPr="0044520D" w:rsidRDefault="0044520D" w:rsidP="00445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778 363 €</w:t>
            </w:r>
          </w:p>
        </w:tc>
      </w:tr>
    </w:tbl>
    <w:p w:rsidR="0015328E" w:rsidRDefault="0015328E" w:rsidP="00AC582F">
      <w:pPr>
        <w:spacing w:after="0" w:line="240" w:lineRule="auto"/>
        <w:jc w:val="both"/>
        <w:rPr>
          <w:color w:val="FF0000"/>
        </w:rPr>
      </w:pPr>
    </w:p>
    <w:p w:rsidR="00ED4AB4" w:rsidRDefault="0044520D" w:rsidP="0093096C">
      <w:pPr>
        <w:jc w:val="both"/>
      </w:pPr>
      <w:r>
        <w:t>Toutes les subventions allouées lors du vote du budget primitif ont été maintenues pendant la période de crise afin de soutenir le milieu associatif.</w:t>
      </w:r>
    </w:p>
    <w:p w:rsidR="00ED4AB4" w:rsidRPr="00AF7055" w:rsidRDefault="00ED4AB4" w:rsidP="00AC582F">
      <w:pPr>
        <w:spacing w:after="0" w:line="240" w:lineRule="auto"/>
        <w:jc w:val="center"/>
      </w:pPr>
    </w:p>
    <w:p w:rsidR="00A50B3A" w:rsidRPr="00AF7055" w:rsidRDefault="00A50B3A" w:rsidP="0093096C">
      <w:pPr>
        <w:jc w:val="both"/>
      </w:pPr>
      <w:r w:rsidRPr="00AF7055">
        <w:lastRenderedPageBreak/>
        <w:t>En 20</w:t>
      </w:r>
      <w:r w:rsidR="0044520D" w:rsidRPr="00AF7055">
        <w:t>20</w:t>
      </w:r>
      <w:r w:rsidRPr="00AF7055">
        <w:t xml:space="preserve">, le budget principal de la CARO a également participé, sur ses fonds propres, à l’équilibre de ses budgets annexes administratifs, comme suit : </w:t>
      </w:r>
    </w:p>
    <w:p w:rsidR="0015328E" w:rsidRPr="00F55080" w:rsidRDefault="0015328E" w:rsidP="00A50B3A">
      <w:pPr>
        <w:spacing w:after="0" w:line="240" w:lineRule="auto"/>
        <w:jc w:val="both"/>
        <w:rPr>
          <w:color w:val="FF0000"/>
        </w:rPr>
      </w:pPr>
    </w:p>
    <w:tbl>
      <w:tblPr>
        <w:tblW w:w="5421" w:type="dxa"/>
        <w:jc w:val="center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381"/>
      </w:tblGrid>
      <w:tr w:rsidR="00AF7055" w:rsidRPr="0044520D" w:rsidTr="00AF7055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7055" w:rsidRPr="0044520D" w:rsidRDefault="00AF7055" w:rsidP="00AF705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F7055" w:rsidRPr="0044520D" w:rsidRDefault="00AF7055" w:rsidP="00AF7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Mandaté</w:t>
            </w:r>
          </w:p>
        </w:tc>
      </w:tr>
      <w:tr w:rsidR="00AF7055" w:rsidRPr="0044520D" w:rsidTr="00AF7055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55" w:rsidRDefault="00AF7055" w:rsidP="00AF7055">
            <w:pPr>
              <w:spacing w:after="0" w:line="240" w:lineRule="auto"/>
              <w:ind w:firstLineChars="200" w:firstLine="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 économiques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55" w:rsidRDefault="00AF7055" w:rsidP="00AF7055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1 999 082 €</w:t>
            </w:r>
          </w:p>
        </w:tc>
      </w:tr>
      <w:tr w:rsidR="00AF7055" w:rsidRPr="0044520D" w:rsidTr="00AF7055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55" w:rsidRDefault="00AF7055" w:rsidP="00AF7055">
            <w:pPr>
              <w:spacing w:after="0" w:line="240" w:lineRule="auto"/>
              <w:ind w:firstLineChars="200" w:firstLine="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Transports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55" w:rsidRDefault="00AF7055" w:rsidP="00AF7055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856 873 €</w:t>
            </w:r>
          </w:p>
        </w:tc>
      </w:tr>
      <w:tr w:rsidR="00AF7055" w:rsidRPr="0044520D" w:rsidTr="00AF7055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55" w:rsidRDefault="00AF7055" w:rsidP="00AF7055">
            <w:pPr>
              <w:spacing w:after="0" w:line="240" w:lineRule="auto"/>
              <w:ind w:firstLineChars="200" w:firstLine="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Organisation du tourisme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55" w:rsidRDefault="00AF7055" w:rsidP="00AF7055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700 498 €</w:t>
            </w:r>
          </w:p>
        </w:tc>
      </w:tr>
      <w:tr w:rsidR="00AF7055" w:rsidRPr="0044520D" w:rsidTr="00AF7055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55" w:rsidRDefault="00AF7055" w:rsidP="00AF7055">
            <w:pPr>
              <w:spacing w:after="0" w:line="240" w:lineRule="auto"/>
              <w:ind w:firstLineChars="200" w:firstLine="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PLIE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55" w:rsidRDefault="00AF7055" w:rsidP="00AF7055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31 414 €</w:t>
            </w:r>
          </w:p>
        </w:tc>
      </w:tr>
      <w:tr w:rsidR="00AF7055" w:rsidRPr="0044520D" w:rsidTr="00AF7055">
        <w:trPr>
          <w:trHeight w:val="300"/>
          <w:jc w:val="center"/>
        </w:trPr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F7055" w:rsidRDefault="00AF7055" w:rsidP="00AF705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général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AF7055" w:rsidRDefault="00AF7055" w:rsidP="00AF705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3 587 867 €</w:t>
            </w:r>
          </w:p>
        </w:tc>
      </w:tr>
    </w:tbl>
    <w:p w:rsidR="00A50B3A" w:rsidRDefault="00A50B3A" w:rsidP="00A50B3A">
      <w:pPr>
        <w:spacing w:after="0" w:line="240" w:lineRule="auto"/>
        <w:jc w:val="center"/>
      </w:pPr>
    </w:p>
    <w:p w:rsidR="00174811" w:rsidRDefault="00174811" w:rsidP="00A50B3A">
      <w:pPr>
        <w:spacing w:after="0" w:line="240" w:lineRule="auto"/>
        <w:jc w:val="center"/>
      </w:pPr>
    </w:p>
    <w:p w:rsidR="00D34FBD" w:rsidRDefault="00D34FBD" w:rsidP="00A50B3A">
      <w:pPr>
        <w:spacing w:after="0" w:line="240" w:lineRule="auto"/>
        <w:jc w:val="center"/>
      </w:pPr>
    </w:p>
    <w:p w:rsidR="00E630B4" w:rsidRDefault="00E630B4" w:rsidP="00875C2B">
      <w:pPr>
        <w:pStyle w:val="Titre3"/>
      </w:pPr>
      <w:bookmarkStart w:id="33" w:name="_Toc10034208"/>
      <w:bookmarkStart w:id="34" w:name="_Toc10034880"/>
      <w:bookmarkStart w:id="35" w:name="_Toc74317337"/>
      <w:r w:rsidRPr="003A37DE">
        <w:t>Chapitre 66</w:t>
      </w:r>
      <w:r>
        <w:t> :</w:t>
      </w:r>
      <w:r w:rsidRPr="003A37DE">
        <w:t xml:space="preserve"> les charges financières</w:t>
      </w:r>
      <w:bookmarkEnd w:id="33"/>
      <w:bookmarkEnd w:id="34"/>
      <w:r w:rsidR="00333120">
        <w:t xml:space="preserve"> (0,3</w:t>
      </w:r>
      <w:r w:rsidR="000655E8">
        <w:t>4</w:t>
      </w:r>
      <w:r w:rsidR="00333120">
        <w:t xml:space="preserve"> M€)</w:t>
      </w:r>
      <w:bookmarkEnd w:id="35"/>
    </w:p>
    <w:p w:rsidR="00F104C5" w:rsidRPr="00AF7055" w:rsidRDefault="00765BED" w:rsidP="0093096C">
      <w:pPr>
        <w:jc w:val="both"/>
      </w:pPr>
      <w:r w:rsidRPr="00AF7055">
        <w:t>Entre 201</w:t>
      </w:r>
      <w:r w:rsidR="00AF7055" w:rsidRPr="00AF7055">
        <w:t>9</w:t>
      </w:r>
      <w:r w:rsidRPr="00AF7055">
        <w:t xml:space="preserve"> et 20</w:t>
      </w:r>
      <w:r w:rsidR="00AF7055" w:rsidRPr="00AF7055">
        <w:t>20</w:t>
      </w:r>
      <w:r w:rsidRPr="00AF7055">
        <w:t>, les intérêts de la dette continuent de diminuer et ce principalement en raison des efforts consentis pour diminuer chaque année le recours à l’emprunt, de la poursuite de la baisse des taux et de la gestion active de la dette.</w:t>
      </w:r>
    </w:p>
    <w:p w:rsidR="003B74F2" w:rsidRPr="00AF7055" w:rsidRDefault="00D34FBD" w:rsidP="00765BED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 wp14:anchorId="48050B21" wp14:editId="0488BA46">
            <wp:extent cx="4572000" cy="2743200"/>
            <wp:effectExtent l="0" t="0" r="0" b="0"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2FEF" w:rsidRDefault="00092FEF" w:rsidP="00092FEF">
      <w:pPr>
        <w:spacing w:after="0" w:line="240" w:lineRule="auto"/>
        <w:jc w:val="center"/>
      </w:pPr>
    </w:p>
    <w:p w:rsidR="00174811" w:rsidRDefault="00174811" w:rsidP="00092FEF">
      <w:pPr>
        <w:spacing w:after="0" w:line="240" w:lineRule="auto"/>
        <w:jc w:val="center"/>
      </w:pPr>
    </w:p>
    <w:p w:rsidR="00D34FBD" w:rsidRDefault="00D34FBD" w:rsidP="00092FEF">
      <w:pPr>
        <w:spacing w:after="0" w:line="240" w:lineRule="auto"/>
        <w:jc w:val="center"/>
      </w:pPr>
    </w:p>
    <w:p w:rsidR="0044318D" w:rsidRDefault="0044318D" w:rsidP="00875C2B">
      <w:pPr>
        <w:pStyle w:val="Titre3"/>
      </w:pPr>
      <w:bookmarkStart w:id="36" w:name="_Toc74317338"/>
      <w:r>
        <w:t xml:space="preserve">Chapitre </w:t>
      </w:r>
      <w:r w:rsidR="00423F3B">
        <w:t>6</w:t>
      </w:r>
      <w:r>
        <w:t>7 :</w:t>
      </w:r>
      <w:r w:rsidRPr="003A37DE">
        <w:t xml:space="preserve"> les charges </w:t>
      </w:r>
      <w:r>
        <w:t>exceptionnelles</w:t>
      </w:r>
      <w:r w:rsidR="00333120">
        <w:t xml:space="preserve"> (0,</w:t>
      </w:r>
      <w:r w:rsidR="000655E8">
        <w:t>7</w:t>
      </w:r>
      <w:r w:rsidR="000F3D3A">
        <w:t>8</w:t>
      </w:r>
      <w:r w:rsidR="00333120">
        <w:t xml:space="preserve"> M€)</w:t>
      </w:r>
      <w:bookmarkEnd w:id="36"/>
    </w:p>
    <w:p w:rsidR="0044318D" w:rsidRPr="000F3D3A" w:rsidRDefault="000F3D3A" w:rsidP="0093096C">
      <w:pPr>
        <w:jc w:val="both"/>
      </w:pPr>
      <w:r w:rsidRPr="000F3D3A">
        <w:t xml:space="preserve">Afin de </w:t>
      </w:r>
      <w:r w:rsidR="00D34FBD">
        <w:t xml:space="preserve">ne pas répercuter sur les usagers les effets de </w:t>
      </w:r>
      <w:r w:rsidRPr="000F3D3A">
        <w:t>la crise sanitaire</w:t>
      </w:r>
      <w:r w:rsidR="00D34FBD">
        <w:t xml:space="preserve"> sur les recettes propres des budgets annexes</w:t>
      </w:r>
      <w:r w:rsidRPr="000F3D3A">
        <w:t>, le budget principal a été amené à les abonder de manière exceptionnelle :</w:t>
      </w:r>
    </w:p>
    <w:tbl>
      <w:tblPr>
        <w:tblW w:w="6840" w:type="dxa"/>
        <w:jc w:val="center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460"/>
      </w:tblGrid>
      <w:tr w:rsidR="000F3D3A" w:rsidRPr="000F3D3A" w:rsidTr="000F3D3A">
        <w:trPr>
          <w:trHeight w:val="300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F3D3A" w:rsidRPr="0044520D" w:rsidRDefault="000F3D3A" w:rsidP="000F3D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0F3D3A" w:rsidRPr="0044520D" w:rsidRDefault="000F3D3A" w:rsidP="000F3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Mandaté</w:t>
            </w:r>
          </w:p>
        </w:tc>
      </w:tr>
      <w:tr w:rsidR="000F3D3A" w:rsidRPr="000F3D3A" w:rsidTr="000F3D3A">
        <w:trPr>
          <w:trHeight w:val="300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A" w:rsidRPr="000F3D3A" w:rsidRDefault="000F3D3A" w:rsidP="000F3D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0F3D3A">
              <w:rPr>
                <w:rFonts w:ascii="Calibri" w:eastAsia="Times New Roman" w:hAnsi="Calibri" w:cs="Calibri"/>
                <w:lang w:eastAsia="fr-FR"/>
              </w:rPr>
              <w:t>Organisation du tourisme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3A" w:rsidRPr="000F3D3A" w:rsidRDefault="000F3D3A" w:rsidP="000F3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0F3D3A">
              <w:rPr>
                <w:rFonts w:ascii="Calibri" w:eastAsia="Times New Roman" w:hAnsi="Calibri" w:cs="Calibri"/>
                <w:lang w:eastAsia="fr-FR"/>
              </w:rPr>
              <w:t>376 212 €</w:t>
            </w:r>
          </w:p>
        </w:tc>
      </w:tr>
      <w:tr w:rsidR="000F3D3A" w:rsidRPr="000F3D3A" w:rsidTr="000F3D3A">
        <w:trPr>
          <w:trHeight w:val="300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A" w:rsidRPr="000F3D3A" w:rsidRDefault="000F3D3A" w:rsidP="000F3D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0F3D3A">
              <w:rPr>
                <w:rFonts w:ascii="Calibri" w:eastAsia="Times New Roman" w:hAnsi="Calibri" w:cs="Calibri"/>
                <w:lang w:eastAsia="fr-FR"/>
              </w:rPr>
              <w:t>Activités économiques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3A" w:rsidRPr="000F3D3A" w:rsidRDefault="000F3D3A" w:rsidP="000F3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0F3D3A">
              <w:rPr>
                <w:rFonts w:ascii="Calibri" w:eastAsia="Times New Roman" w:hAnsi="Calibri" w:cs="Calibri"/>
                <w:lang w:eastAsia="fr-FR"/>
              </w:rPr>
              <w:t>250 000 €</w:t>
            </w:r>
          </w:p>
        </w:tc>
      </w:tr>
      <w:tr w:rsidR="000F3D3A" w:rsidRPr="000F3D3A" w:rsidTr="000F3D3A">
        <w:trPr>
          <w:trHeight w:val="300"/>
          <w:jc w:val="center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A" w:rsidRPr="000F3D3A" w:rsidRDefault="000F3D3A" w:rsidP="000F3D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0F3D3A">
              <w:rPr>
                <w:rFonts w:ascii="Calibri" w:eastAsia="Times New Roman" w:hAnsi="Calibri" w:cs="Calibri"/>
                <w:lang w:eastAsia="fr-FR"/>
              </w:rPr>
              <w:t>Déchets ménagers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3A" w:rsidRPr="000F3D3A" w:rsidRDefault="000F3D3A" w:rsidP="000F3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0F3D3A">
              <w:rPr>
                <w:rFonts w:ascii="Calibri" w:eastAsia="Times New Roman" w:hAnsi="Calibri" w:cs="Calibri"/>
                <w:lang w:eastAsia="fr-FR"/>
              </w:rPr>
              <w:t>150 000 €</w:t>
            </w:r>
          </w:p>
        </w:tc>
      </w:tr>
      <w:tr w:rsidR="000F3D3A" w:rsidRPr="000F3D3A" w:rsidTr="000F3D3A">
        <w:trPr>
          <w:trHeight w:val="300"/>
          <w:jc w:val="center"/>
        </w:trPr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F3D3A" w:rsidRPr="0044520D" w:rsidRDefault="000F3D3A" w:rsidP="000F3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4520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0F3D3A" w:rsidRPr="0044520D" w:rsidRDefault="000F3D3A" w:rsidP="000F3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776 212 €</w:t>
            </w:r>
          </w:p>
        </w:tc>
      </w:tr>
    </w:tbl>
    <w:p w:rsidR="0080541E" w:rsidRDefault="00847425" w:rsidP="0080541E">
      <w:pPr>
        <w:pStyle w:val="Titre2"/>
      </w:pPr>
      <w:bookmarkStart w:id="37" w:name="_Toc74317339"/>
      <w:r>
        <w:lastRenderedPageBreak/>
        <w:t>L</w:t>
      </w:r>
      <w:r w:rsidR="0080541E">
        <w:t>es recettes d’investissement</w:t>
      </w:r>
      <w:r w:rsidR="00333120">
        <w:t xml:space="preserve"> (3,97 M€)</w:t>
      </w:r>
      <w:bookmarkEnd w:id="37"/>
    </w:p>
    <w:tbl>
      <w:tblPr>
        <w:tblW w:w="986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377"/>
        <w:gridCol w:w="1340"/>
        <w:gridCol w:w="1340"/>
        <w:gridCol w:w="1359"/>
        <w:gridCol w:w="976"/>
      </w:tblGrid>
      <w:tr w:rsidR="00845770" w:rsidRPr="000655E8" w:rsidTr="00845770">
        <w:trPr>
          <w:trHeight w:val="300"/>
          <w:jc w:val="center"/>
        </w:trPr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45770" w:rsidRPr="000655E8" w:rsidRDefault="00845770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655E8">
              <w:rPr>
                <w:rFonts w:eastAsia="Times New Roman" w:cstheme="minorHAnsi"/>
                <w:b/>
                <w:bCs/>
                <w:lang w:eastAsia="fr-FR"/>
              </w:rPr>
              <w:t>Chapitre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655E8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655E8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655E8">
              <w:rPr>
                <w:rFonts w:eastAsia="Times New Roman" w:cstheme="minorHAnsi"/>
                <w:b/>
                <w:bCs/>
                <w:lang w:eastAsia="fr-FR"/>
              </w:rPr>
              <w:t>EVOLUTION</w:t>
            </w:r>
          </w:p>
        </w:tc>
      </w:tr>
      <w:tr w:rsidR="00845770" w:rsidRPr="000655E8" w:rsidTr="00845770">
        <w:trPr>
          <w:trHeight w:val="300"/>
          <w:jc w:val="center"/>
        </w:trPr>
        <w:tc>
          <w:tcPr>
            <w:tcW w:w="4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655E8">
              <w:rPr>
                <w:rFonts w:eastAsia="Times New Roman" w:cstheme="minorHAnsi"/>
                <w:b/>
                <w:bCs/>
                <w:lang w:eastAsia="fr-F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655E8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655E8">
              <w:rPr>
                <w:rFonts w:eastAsia="Times New Roman" w:cstheme="minorHAnsi"/>
                <w:b/>
                <w:bCs/>
                <w:lang w:eastAsia="fr-FR"/>
              </w:rPr>
              <w:t>2020-2019</w:t>
            </w:r>
          </w:p>
        </w:tc>
      </w:tr>
      <w:tr w:rsidR="00845770" w:rsidRPr="000655E8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021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Virement de la section de fonctionnement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845770" w:rsidRPr="000655E8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024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Produits des cessions d'immobilisations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845770" w:rsidRPr="000655E8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040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Operations d'ordre de transfert entre sections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1 401 634 €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1 783 771 €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382 136 €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27,3%</w:t>
            </w:r>
          </w:p>
        </w:tc>
      </w:tr>
      <w:tr w:rsidR="00845770" w:rsidRPr="000655E8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041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Operations patrimoniales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100 059 €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-100 059 €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-100,0%</w:t>
            </w:r>
          </w:p>
        </w:tc>
      </w:tr>
      <w:tr w:rsidR="00845770" w:rsidRPr="000655E8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Dotations, fonds divers et réserves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5 919 892 €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4 236 328 €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-1 683 563 €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-28,4%</w:t>
            </w:r>
          </w:p>
        </w:tc>
      </w:tr>
      <w:tr w:rsidR="00845770" w:rsidRPr="000655E8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13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Subventions d'investissement reçues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738 965 €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457 496 €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-281 469 €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-38,1%</w:t>
            </w:r>
          </w:p>
        </w:tc>
      </w:tr>
      <w:tr w:rsidR="00845770" w:rsidRPr="000655E8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16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Emprunts et dettes assimilés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956 600 €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2 205 182 €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1 248 582 €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130,5%</w:t>
            </w:r>
          </w:p>
        </w:tc>
      </w:tr>
      <w:tr w:rsidR="00845770" w:rsidRPr="000655E8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Immobilisations incorporelles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9 875 €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34 013 €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24 139 €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244,5%</w:t>
            </w:r>
          </w:p>
        </w:tc>
      </w:tr>
      <w:tr w:rsidR="00845770" w:rsidRPr="000655E8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204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Subventions d'équipement versées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12 500 €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12 500 €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845770" w:rsidRPr="000655E8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Immobilisations corporelles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28 453 €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42 648 €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14 195 €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0655E8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0655E8">
              <w:rPr>
                <w:rFonts w:eastAsia="Times New Roman" w:cstheme="minorHAnsi"/>
                <w:lang w:eastAsia="fr-FR"/>
              </w:rPr>
              <w:t>49,9%</w:t>
            </w:r>
          </w:p>
        </w:tc>
      </w:tr>
      <w:tr w:rsidR="00845770" w:rsidRPr="00EF6630" w:rsidTr="00845770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EF6630" w:rsidRDefault="00845770" w:rsidP="000655E8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 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EF6630" w:rsidRDefault="00845770" w:rsidP="000655E8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Total Recettes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EF6630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9 155 478 €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EF6630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8 771 938 €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EF6630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-383 540 €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EF6630" w:rsidRDefault="00845770" w:rsidP="000655E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EF6630">
              <w:rPr>
                <w:rFonts w:eastAsia="Times New Roman" w:cstheme="minorHAnsi"/>
                <w:b/>
                <w:lang w:eastAsia="fr-FR"/>
              </w:rPr>
              <w:t>-4,2%</w:t>
            </w:r>
          </w:p>
        </w:tc>
      </w:tr>
    </w:tbl>
    <w:p w:rsidR="00B077B0" w:rsidRDefault="00B077B0" w:rsidP="00B077B0">
      <w:pPr>
        <w:spacing w:after="0" w:line="240" w:lineRule="auto"/>
      </w:pPr>
      <w:bookmarkStart w:id="38" w:name="_Toc10034210"/>
      <w:bookmarkStart w:id="39" w:name="_Toc10034882"/>
    </w:p>
    <w:p w:rsidR="00B077B0" w:rsidRDefault="00B077B0" w:rsidP="00B077B0">
      <w:pPr>
        <w:spacing w:after="0" w:line="240" w:lineRule="auto"/>
      </w:pPr>
    </w:p>
    <w:p w:rsidR="00F03540" w:rsidRDefault="0066679E" w:rsidP="00875C2B">
      <w:pPr>
        <w:pStyle w:val="Titre3"/>
      </w:pPr>
      <w:bookmarkStart w:id="40" w:name="_Toc74317340"/>
      <w:r w:rsidRPr="0066679E">
        <w:t>C</w:t>
      </w:r>
      <w:r w:rsidR="00F03540" w:rsidRPr="0066679E">
        <w:t>ha</w:t>
      </w:r>
      <w:r>
        <w:t>pitre 10 : dotations et fonds divers</w:t>
      </w:r>
      <w:r w:rsidR="00333120">
        <w:t xml:space="preserve"> (</w:t>
      </w:r>
      <w:r w:rsidR="000655E8">
        <w:t>4,2</w:t>
      </w:r>
      <w:r w:rsidR="00333120">
        <w:t xml:space="preserve"> M€)</w:t>
      </w:r>
      <w:bookmarkEnd w:id="40"/>
    </w:p>
    <w:p w:rsidR="00F03540" w:rsidRPr="00CA6F6F" w:rsidRDefault="0066679E" w:rsidP="0093096C">
      <w:pPr>
        <w:jc w:val="both"/>
      </w:pPr>
      <w:r w:rsidRPr="00CA6F6F">
        <w:t>Le F</w:t>
      </w:r>
      <w:r w:rsidR="00D477A8">
        <w:t xml:space="preserve">onds de </w:t>
      </w:r>
      <w:r w:rsidRPr="00CA6F6F">
        <w:t>C</w:t>
      </w:r>
      <w:r w:rsidR="00D477A8">
        <w:t xml:space="preserve">ompensation de la </w:t>
      </w:r>
      <w:r w:rsidRPr="00CA6F6F">
        <w:t>TVA</w:t>
      </w:r>
      <w:r w:rsidR="00D477A8">
        <w:t xml:space="preserve"> (FCTVA) sur les dépenses d’équipement réalisées par la CARO en 2020</w:t>
      </w:r>
      <w:r w:rsidRPr="00CA6F6F">
        <w:t xml:space="preserve"> s’élève à </w:t>
      </w:r>
      <w:r w:rsidR="00CA6F6F" w:rsidRPr="00CA6F6F">
        <w:t xml:space="preserve">697 </w:t>
      </w:r>
      <w:r w:rsidRPr="00CA6F6F">
        <w:t>K€</w:t>
      </w:r>
      <w:r w:rsidR="0022787A" w:rsidRPr="00CA6F6F">
        <w:t xml:space="preserve"> en 20</w:t>
      </w:r>
      <w:r w:rsidR="00CA6F6F" w:rsidRPr="00CA6F6F">
        <w:t>20</w:t>
      </w:r>
      <w:r w:rsidR="0022787A" w:rsidRPr="00CA6F6F">
        <w:t xml:space="preserve"> contre </w:t>
      </w:r>
      <w:r w:rsidR="00CA6F6F" w:rsidRPr="00CA6F6F">
        <w:t xml:space="preserve">583 </w:t>
      </w:r>
      <w:r w:rsidR="0022787A" w:rsidRPr="00CA6F6F">
        <w:t>K€ en 201</w:t>
      </w:r>
      <w:r w:rsidR="00CA6F6F" w:rsidRPr="00CA6F6F">
        <w:t>9</w:t>
      </w:r>
      <w:r w:rsidR="00415284" w:rsidRPr="00CA6F6F">
        <w:t>.</w:t>
      </w:r>
    </w:p>
    <w:p w:rsidR="0066679E" w:rsidRDefault="00415284" w:rsidP="0093096C">
      <w:pPr>
        <w:jc w:val="both"/>
      </w:pPr>
      <w:r w:rsidRPr="00CA6F6F">
        <w:t>Le</w:t>
      </w:r>
      <w:r w:rsidR="0022787A" w:rsidRPr="00CA6F6F">
        <w:t xml:space="preserve"> compte 1068 s’élève à</w:t>
      </w:r>
      <w:r w:rsidR="0066679E" w:rsidRPr="00CA6F6F">
        <w:t xml:space="preserve"> </w:t>
      </w:r>
      <w:r w:rsidR="00CA6F6F" w:rsidRPr="00CA6F6F">
        <w:t>3 539</w:t>
      </w:r>
      <w:r w:rsidR="0066679E" w:rsidRPr="00CA6F6F">
        <w:t xml:space="preserve"> </w:t>
      </w:r>
      <w:r w:rsidR="0022787A" w:rsidRPr="00CA6F6F">
        <w:t>K</w:t>
      </w:r>
      <w:r w:rsidRPr="00CA6F6F">
        <w:t>€, il permet de financer le déficit d’investissement 201</w:t>
      </w:r>
      <w:r w:rsidR="00CA6F6F" w:rsidRPr="00CA6F6F">
        <w:t>9</w:t>
      </w:r>
      <w:r w:rsidR="00D477A8">
        <w:t xml:space="preserve"> et les restes à réaliser</w:t>
      </w:r>
      <w:r w:rsidRPr="00CA6F6F">
        <w:t>.</w:t>
      </w:r>
    </w:p>
    <w:p w:rsidR="00B077B0" w:rsidRDefault="00B077B0" w:rsidP="00B077B0">
      <w:pPr>
        <w:spacing w:after="0" w:line="240" w:lineRule="auto"/>
      </w:pPr>
    </w:p>
    <w:p w:rsidR="00E630B4" w:rsidRPr="00131BFB" w:rsidRDefault="00E630B4" w:rsidP="00875C2B">
      <w:pPr>
        <w:pStyle w:val="Titre3"/>
      </w:pPr>
      <w:bookmarkStart w:id="41" w:name="_Toc74317341"/>
      <w:r>
        <w:t>Chapitre 13 :</w:t>
      </w:r>
      <w:r w:rsidRPr="00131BFB">
        <w:t xml:space="preserve"> </w:t>
      </w:r>
      <w:r>
        <w:t>les subventions d’investissement reçues</w:t>
      </w:r>
      <w:bookmarkEnd w:id="38"/>
      <w:bookmarkEnd w:id="39"/>
      <w:r>
        <w:t xml:space="preserve"> </w:t>
      </w:r>
      <w:r w:rsidR="00333120">
        <w:t xml:space="preserve"> (0,</w:t>
      </w:r>
      <w:r w:rsidR="002044AB">
        <w:t>46</w:t>
      </w:r>
      <w:r w:rsidR="00333120">
        <w:t xml:space="preserve"> M€)</w:t>
      </w:r>
      <w:bookmarkEnd w:id="41"/>
    </w:p>
    <w:p w:rsidR="00110B63" w:rsidRPr="0093096C" w:rsidRDefault="00C34B48" w:rsidP="002515E7">
      <w:pPr>
        <w:jc w:val="both"/>
      </w:pPr>
      <w:r w:rsidRPr="0093096C">
        <w:t>En 20</w:t>
      </w:r>
      <w:r w:rsidR="00DE5135" w:rsidRPr="0093096C">
        <w:t>20</w:t>
      </w:r>
      <w:r w:rsidRPr="0093096C">
        <w:t xml:space="preserve">, </w:t>
      </w:r>
      <w:r w:rsidR="00DE5135" w:rsidRPr="0093096C">
        <w:t>l</w:t>
      </w:r>
      <w:r w:rsidRPr="0093096C">
        <w:t xml:space="preserve">es subventions </w:t>
      </w:r>
      <w:r w:rsidR="00D477A8">
        <w:t xml:space="preserve">d’équipement </w:t>
      </w:r>
      <w:r w:rsidR="00DE5135" w:rsidRPr="0093096C">
        <w:t>perçues s’élèvent à 457 K€</w:t>
      </w:r>
      <w:r w:rsidRPr="0093096C">
        <w:t>.</w:t>
      </w:r>
      <w:r w:rsidR="00DE5135" w:rsidRPr="0093096C">
        <w:t xml:space="preserve"> Les reports sur l’exercice 2021 sont de 1 125 K€</w:t>
      </w:r>
      <w:r w:rsidR="006028F6" w:rsidRPr="0093096C">
        <w:t xml:space="preserve">. Elles concernent </w:t>
      </w:r>
      <w:r w:rsidR="00D477A8">
        <w:t xml:space="preserve">principalement </w:t>
      </w:r>
      <w:r w:rsidR="006028F6" w:rsidRPr="0093096C">
        <w:t>les projets suivants :</w:t>
      </w:r>
    </w:p>
    <w:tbl>
      <w:tblPr>
        <w:tblW w:w="7487" w:type="dxa"/>
        <w:jc w:val="center"/>
        <w:tblInd w:w="-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9"/>
        <w:gridCol w:w="1317"/>
        <w:gridCol w:w="1291"/>
      </w:tblGrid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</w:tcPr>
          <w:p w:rsidR="006028F6" w:rsidRPr="006028F6" w:rsidRDefault="006028F6" w:rsidP="00602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028F6" w:rsidRPr="007E4018" w:rsidRDefault="006028F6" w:rsidP="00602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Mandaté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6028F6" w:rsidRPr="007E4018" w:rsidRDefault="006028F6" w:rsidP="00602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Report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Sports &amp; nautisme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250 000 €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Golf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250 000 €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Culture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80 637 €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408 412 €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Salle culturelle des Fourriers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80 637 €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408 412 €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Tourisme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76 457 €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233 659 €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Pont Transbordeur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59 845 €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52 566 €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Signalétique touristique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16 611 €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6 300 €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Grands projets Marais de Brouage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39 722 €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Pistes cyclables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135 071 €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GEMAPI, Pluvial &amp; environnement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45 686 €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483 196 €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Pluvial - hors Rochefort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33 640 €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27 083 €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Travaux divers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6 819 €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242 €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PAPI Charente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5 227 €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25477" w:rsidP="0062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405 871 €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Pluvial - Rochefort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50 000 €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Administration générale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4 716 €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Divers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4 716 €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</w:tr>
      <w:tr w:rsidR="006028F6" w:rsidRPr="006028F6" w:rsidTr="006028F6">
        <w:trPr>
          <w:trHeight w:val="300"/>
          <w:jc w:val="center"/>
        </w:trPr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457 496 €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6028F6" w:rsidRPr="006028F6" w:rsidRDefault="006028F6" w:rsidP="00602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28F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1 125 267 €</w:t>
            </w:r>
          </w:p>
        </w:tc>
      </w:tr>
    </w:tbl>
    <w:p w:rsidR="000D634F" w:rsidRDefault="000D634F" w:rsidP="00C34B48">
      <w:pPr>
        <w:spacing w:after="0" w:line="240" w:lineRule="auto"/>
        <w:rPr>
          <w:rFonts w:cs="Arial"/>
        </w:rPr>
      </w:pPr>
    </w:p>
    <w:p w:rsidR="00F96D47" w:rsidRDefault="00F96D47" w:rsidP="00F96D47">
      <w:pPr>
        <w:spacing w:before="120" w:after="120"/>
        <w:jc w:val="both"/>
        <w:rPr>
          <w:rFonts w:cs="Arial"/>
        </w:rPr>
      </w:pPr>
      <w:r>
        <w:rPr>
          <w:rFonts w:cs="Arial"/>
        </w:rPr>
        <w:t xml:space="preserve">En synthèse, le </w:t>
      </w:r>
      <w:r w:rsidRPr="00430BBD">
        <w:rPr>
          <w:rFonts w:cs="Arial"/>
        </w:rPr>
        <w:t xml:space="preserve">projet </w:t>
      </w:r>
      <w:r w:rsidR="00074E34">
        <w:rPr>
          <w:rFonts w:cs="Arial"/>
        </w:rPr>
        <w:t>ci-dessous</w:t>
      </w:r>
      <w:r>
        <w:rPr>
          <w:rFonts w:cs="Arial"/>
        </w:rPr>
        <w:t xml:space="preserve"> f</w:t>
      </w:r>
      <w:r w:rsidR="00074E34">
        <w:rPr>
          <w:rFonts w:cs="Arial"/>
        </w:rPr>
        <w:t>ai</w:t>
      </w:r>
      <w:r>
        <w:rPr>
          <w:rFonts w:cs="Arial"/>
        </w:rPr>
        <w:t>t l’objet de financements conséquents :</w:t>
      </w:r>
    </w:p>
    <w:tbl>
      <w:tblPr>
        <w:tblW w:w="10973" w:type="dxa"/>
        <w:jc w:val="center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7"/>
        <w:gridCol w:w="2873"/>
        <w:gridCol w:w="1594"/>
        <w:gridCol w:w="2769"/>
      </w:tblGrid>
      <w:tr w:rsidR="00F96D47" w:rsidRPr="00F96D47" w:rsidTr="00F96D47">
        <w:trPr>
          <w:trHeight w:val="300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6D47" w:rsidRPr="00F96D47" w:rsidRDefault="00F96D47" w:rsidP="00F96D47">
            <w:pPr>
              <w:jc w:val="center"/>
              <w:rPr>
                <w:b/>
              </w:rPr>
            </w:pPr>
            <w:r>
              <w:rPr>
                <w:b/>
              </w:rPr>
              <w:t>Salle culturelle des Fourriers</w:t>
            </w:r>
          </w:p>
        </w:tc>
      </w:tr>
      <w:tr w:rsidR="00F96D47" w:rsidRPr="00F96D47" w:rsidTr="00F96D47">
        <w:trPr>
          <w:trHeight w:val="300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7" w:rsidRPr="00F96D47" w:rsidRDefault="00F96D47" w:rsidP="00F96D47">
            <w:pPr>
              <w:tabs>
                <w:tab w:val="right" w:pos="10805"/>
              </w:tabs>
              <w:jc w:val="both"/>
              <w:rPr>
                <w:b/>
              </w:rPr>
            </w:pPr>
            <w:r w:rsidRPr="00F96D47">
              <w:rPr>
                <w:b/>
              </w:rPr>
              <w:t xml:space="preserve">Montant total de l'opération (APCP) : 1 748 020 € </w:t>
            </w:r>
            <w:r w:rsidRPr="00F96D47">
              <w:rPr>
                <w:b/>
              </w:rPr>
              <w:tab/>
              <w:t xml:space="preserve">Financements attendus à hauteur de </w:t>
            </w:r>
            <w:r>
              <w:rPr>
                <w:b/>
              </w:rPr>
              <w:t>35</w:t>
            </w:r>
            <w:r w:rsidRPr="00F96D47">
              <w:rPr>
                <w:b/>
              </w:rPr>
              <w:t>% du HT</w:t>
            </w:r>
          </w:p>
        </w:tc>
      </w:tr>
      <w:tr w:rsidR="00F96D47" w:rsidTr="00F96D47">
        <w:trPr>
          <w:trHeight w:val="3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7" w:rsidRDefault="00F96D47" w:rsidP="00F96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Région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7" w:rsidRDefault="00F96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150 258 €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7" w:rsidRDefault="00F96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7" w:rsidRDefault="00F96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Obtenu</w:t>
            </w:r>
          </w:p>
        </w:tc>
      </w:tr>
      <w:tr w:rsidR="00F96D47" w:rsidTr="00F96D47">
        <w:trPr>
          <w:trHeight w:val="300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7" w:rsidRDefault="00F96D47" w:rsidP="00F96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Etat (DETR et DSIL)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7" w:rsidRDefault="00F96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468 791 €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7" w:rsidRDefault="00F96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7" w:rsidRDefault="00F96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Obtenu</w:t>
            </w:r>
          </w:p>
        </w:tc>
      </w:tr>
    </w:tbl>
    <w:p w:rsidR="00B077B0" w:rsidRDefault="00B077B0" w:rsidP="00B077B0">
      <w:pPr>
        <w:spacing w:after="0" w:line="240" w:lineRule="auto"/>
      </w:pPr>
      <w:bookmarkStart w:id="42" w:name="_Toc10034211"/>
      <w:bookmarkStart w:id="43" w:name="_Toc10034883"/>
    </w:p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E630B4" w:rsidRPr="00AE0FB7" w:rsidRDefault="00E630B4" w:rsidP="00875C2B">
      <w:pPr>
        <w:pStyle w:val="Titre3"/>
      </w:pPr>
      <w:bookmarkStart w:id="44" w:name="_Toc74317342"/>
      <w:r w:rsidRPr="00AE0FB7">
        <w:t xml:space="preserve">Chapitre </w:t>
      </w:r>
      <w:r>
        <w:t>16 :</w:t>
      </w:r>
      <w:r w:rsidRPr="00AE0FB7">
        <w:t xml:space="preserve"> </w:t>
      </w:r>
      <w:r>
        <w:t>le financement par emprunt</w:t>
      </w:r>
      <w:bookmarkEnd w:id="42"/>
      <w:bookmarkEnd w:id="43"/>
      <w:r w:rsidR="002044AB">
        <w:t xml:space="preserve"> (2,2</w:t>
      </w:r>
      <w:r w:rsidR="00333120">
        <w:t xml:space="preserve"> M€)</w:t>
      </w:r>
      <w:bookmarkEnd w:id="44"/>
    </w:p>
    <w:p w:rsidR="001339DD" w:rsidRDefault="00772096" w:rsidP="0093096C">
      <w:pPr>
        <w:jc w:val="both"/>
      </w:pPr>
      <w:r w:rsidRPr="001339DD">
        <w:t>Le montant de</w:t>
      </w:r>
      <w:r w:rsidR="001339DD">
        <w:t xml:space="preserve"> l’</w:t>
      </w:r>
      <w:r w:rsidRPr="001339DD">
        <w:t>emprunt nouveau s’</w:t>
      </w:r>
      <w:r w:rsidR="00EF6630" w:rsidRPr="001339DD">
        <w:t>él</w:t>
      </w:r>
      <w:r w:rsidR="00EF6630">
        <w:t>è</w:t>
      </w:r>
      <w:r w:rsidR="00EF6630" w:rsidRPr="001339DD">
        <w:t>v</w:t>
      </w:r>
      <w:r w:rsidR="00EF6630">
        <w:t>e</w:t>
      </w:r>
      <w:r w:rsidRPr="001339DD">
        <w:t xml:space="preserve"> à </w:t>
      </w:r>
      <w:r w:rsidR="00CA6F6F" w:rsidRPr="001339DD">
        <w:t>2 200</w:t>
      </w:r>
      <w:r w:rsidR="00C04453" w:rsidRPr="001339DD">
        <w:t xml:space="preserve"> K€ </w:t>
      </w:r>
      <w:r w:rsidR="00EF6630">
        <w:t xml:space="preserve">contracté </w:t>
      </w:r>
      <w:r w:rsidR="00C04453" w:rsidRPr="001339DD">
        <w:t xml:space="preserve">auprès de </w:t>
      </w:r>
      <w:r w:rsidR="001339DD">
        <w:t>la banque postale.</w:t>
      </w:r>
    </w:p>
    <w:p w:rsidR="002044AB" w:rsidRDefault="002044AB" w:rsidP="002044AB">
      <w:r>
        <w:br w:type="page"/>
      </w:r>
    </w:p>
    <w:p w:rsidR="0080541E" w:rsidRDefault="0080541E" w:rsidP="0080541E">
      <w:pPr>
        <w:pStyle w:val="Titre2"/>
      </w:pPr>
      <w:bookmarkStart w:id="45" w:name="_Toc74317343"/>
      <w:r>
        <w:lastRenderedPageBreak/>
        <w:t>Les dépenses d’investissement</w:t>
      </w:r>
      <w:r w:rsidR="00333120">
        <w:t xml:space="preserve"> (</w:t>
      </w:r>
      <w:r w:rsidR="002044AB">
        <w:t>10,57</w:t>
      </w:r>
      <w:r w:rsidR="00333120">
        <w:t xml:space="preserve"> M€)</w:t>
      </w:r>
      <w:bookmarkEnd w:id="45"/>
    </w:p>
    <w:tbl>
      <w:tblPr>
        <w:tblW w:w="981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377"/>
        <w:gridCol w:w="1291"/>
        <w:gridCol w:w="1340"/>
        <w:gridCol w:w="1359"/>
        <w:gridCol w:w="976"/>
      </w:tblGrid>
      <w:tr w:rsidR="00845770" w:rsidRPr="002044AB" w:rsidTr="00845770">
        <w:trPr>
          <w:trHeight w:val="300"/>
          <w:jc w:val="center"/>
        </w:trPr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45770" w:rsidRPr="002044AB" w:rsidRDefault="00845770" w:rsidP="0020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b/>
                <w:bCs/>
                <w:lang w:eastAsia="fr-FR"/>
              </w:rPr>
              <w:t>Chapitre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b/>
                <w:bCs/>
                <w:lang w:eastAsia="fr-FR"/>
              </w:rPr>
              <w:t>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b/>
                <w:bCs/>
                <w:lang w:eastAsia="fr-FR"/>
              </w:rPr>
              <w:t>CA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b/>
                <w:bCs/>
                <w:lang w:eastAsia="fr-FR"/>
              </w:rPr>
              <w:t>EVOLUTION €</w:t>
            </w:r>
          </w:p>
        </w:tc>
      </w:tr>
      <w:tr w:rsidR="00845770" w:rsidRPr="002044AB" w:rsidTr="00845770">
        <w:trPr>
          <w:trHeight w:val="300"/>
          <w:jc w:val="center"/>
        </w:trPr>
        <w:tc>
          <w:tcPr>
            <w:tcW w:w="4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b/>
                <w:bCs/>
                <w:lang w:eastAsia="fr-F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b/>
                <w:bCs/>
                <w:lang w:eastAsia="fr-FR"/>
              </w:rPr>
              <w:t>2020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b/>
                <w:bCs/>
                <w:lang w:eastAsia="fr-FR"/>
              </w:rPr>
              <w:t>2020-2019</w:t>
            </w:r>
          </w:p>
        </w:tc>
      </w:tr>
      <w:tr w:rsidR="00845770" w:rsidRPr="002044AB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001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Résultat report</w:t>
            </w:r>
            <w:r>
              <w:rPr>
                <w:rFonts w:ascii="Calibri" w:eastAsia="Times New Roman" w:hAnsi="Calibri" w:cs="Calibri"/>
                <w:lang w:eastAsia="fr-FR"/>
              </w:rPr>
              <w:t>é</w:t>
            </w:r>
            <w:r w:rsidRPr="002044AB">
              <w:rPr>
                <w:rFonts w:ascii="Calibri" w:eastAsia="Times New Roman" w:hAnsi="Calibri" w:cs="Calibri"/>
                <w:lang w:eastAsia="fr-FR"/>
              </w:rPr>
              <w:t xml:space="preserve"> d'investissement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1 393 468 €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330 735 €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-1 062 733 €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-76,3%</w:t>
            </w:r>
          </w:p>
        </w:tc>
      </w:tr>
      <w:tr w:rsidR="00845770" w:rsidRPr="002044AB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040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Op</w:t>
            </w:r>
            <w:r>
              <w:rPr>
                <w:rFonts w:ascii="Calibri" w:eastAsia="Times New Roman" w:hAnsi="Calibri" w:cs="Calibri"/>
                <w:lang w:eastAsia="fr-FR"/>
              </w:rPr>
              <w:t>é</w:t>
            </w:r>
            <w:r w:rsidRPr="002044AB">
              <w:rPr>
                <w:rFonts w:ascii="Calibri" w:eastAsia="Times New Roman" w:hAnsi="Calibri" w:cs="Calibri"/>
                <w:lang w:eastAsia="fr-FR"/>
              </w:rPr>
              <w:t>rations d'ordre de transfert entre sections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136 145 €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203 919 €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67 774 €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49,8%</w:t>
            </w:r>
          </w:p>
        </w:tc>
      </w:tr>
      <w:tr w:rsidR="00845770" w:rsidRPr="002044AB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041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Op</w:t>
            </w:r>
            <w:r>
              <w:rPr>
                <w:rFonts w:ascii="Calibri" w:eastAsia="Times New Roman" w:hAnsi="Calibri" w:cs="Calibri"/>
                <w:lang w:eastAsia="fr-FR"/>
              </w:rPr>
              <w:t>é</w:t>
            </w:r>
            <w:r w:rsidRPr="002044AB">
              <w:rPr>
                <w:rFonts w:ascii="Calibri" w:eastAsia="Times New Roman" w:hAnsi="Calibri" w:cs="Calibri"/>
                <w:lang w:eastAsia="fr-FR"/>
              </w:rPr>
              <w:t>rations patrimoniales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100 059 €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-100 059 €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-100,0%</w:t>
            </w:r>
          </w:p>
        </w:tc>
      </w:tr>
      <w:tr w:rsidR="00845770" w:rsidRPr="002044AB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Dotations,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2044AB">
              <w:rPr>
                <w:rFonts w:ascii="Calibri" w:eastAsia="Times New Roman" w:hAnsi="Calibri" w:cs="Calibri"/>
                <w:lang w:eastAsia="fr-FR"/>
              </w:rPr>
              <w:t>fonds divers et r</w:t>
            </w:r>
            <w:r>
              <w:rPr>
                <w:rFonts w:ascii="Calibri" w:eastAsia="Times New Roman" w:hAnsi="Calibri" w:cs="Calibri"/>
                <w:lang w:eastAsia="fr-FR"/>
              </w:rPr>
              <w:t>é</w:t>
            </w:r>
            <w:r w:rsidRPr="002044AB">
              <w:rPr>
                <w:rFonts w:ascii="Calibri" w:eastAsia="Times New Roman" w:hAnsi="Calibri" w:cs="Calibri"/>
                <w:lang w:eastAsia="fr-FR"/>
              </w:rPr>
              <w:t>serves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0,0%</w:t>
            </w:r>
          </w:p>
        </w:tc>
      </w:tr>
      <w:tr w:rsidR="00845770" w:rsidRPr="002044AB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13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Subventions d'investissement reçues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0,0%</w:t>
            </w:r>
          </w:p>
        </w:tc>
      </w:tr>
      <w:tr w:rsidR="00845770" w:rsidRPr="002044AB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Emprunts et dettes assimil</w:t>
            </w:r>
            <w:r>
              <w:rPr>
                <w:rFonts w:ascii="Calibri" w:eastAsia="Times New Roman" w:hAnsi="Calibri" w:cs="Calibri"/>
                <w:lang w:eastAsia="fr-FR"/>
              </w:rPr>
              <w:t>é</w:t>
            </w:r>
            <w:r w:rsidRPr="002044AB">
              <w:rPr>
                <w:rFonts w:ascii="Calibri" w:eastAsia="Times New Roman" w:hAnsi="Calibri" w:cs="Calibri"/>
                <w:lang w:eastAsia="fr-FR"/>
              </w:rPr>
              <w:t>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1 248 106 €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1 308 734 €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60 628 €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4,9%</w:t>
            </w:r>
          </w:p>
        </w:tc>
      </w:tr>
      <w:tr w:rsidR="00845770" w:rsidRPr="002044AB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Immobilisations incorporelles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821 082 €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675 868 €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-145 214 €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-17,7%</w:t>
            </w:r>
          </w:p>
        </w:tc>
      </w:tr>
      <w:tr w:rsidR="00845770" w:rsidRPr="002044AB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204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Subventions d'</w:t>
            </w:r>
            <w:r>
              <w:rPr>
                <w:rFonts w:ascii="Calibri" w:eastAsia="Times New Roman" w:hAnsi="Calibri" w:cs="Calibri"/>
                <w:lang w:eastAsia="fr-FR"/>
              </w:rPr>
              <w:t>é</w:t>
            </w:r>
            <w:r w:rsidRPr="002044AB">
              <w:rPr>
                <w:rFonts w:ascii="Calibri" w:eastAsia="Times New Roman" w:hAnsi="Calibri" w:cs="Calibri"/>
                <w:lang w:eastAsia="fr-FR"/>
              </w:rPr>
              <w:t>quipement vers</w:t>
            </w:r>
            <w:r>
              <w:rPr>
                <w:rFonts w:ascii="Calibri" w:eastAsia="Times New Roman" w:hAnsi="Calibri" w:cs="Calibri"/>
                <w:lang w:eastAsia="fr-FR"/>
              </w:rPr>
              <w:t>é</w:t>
            </w:r>
            <w:r w:rsidRPr="002044AB">
              <w:rPr>
                <w:rFonts w:ascii="Calibri" w:eastAsia="Times New Roman" w:hAnsi="Calibri" w:cs="Calibri"/>
                <w:lang w:eastAsia="fr-FR"/>
              </w:rPr>
              <w:t>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1 373 708 €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2 676 905 €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1 303 196 €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94,9%</w:t>
            </w:r>
          </w:p>
        </w:tc>
      </w:tr>
      <w:tr w:rsidR="00845770" w:rsidRPr="002044AB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Immobilisations corporelles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2 516 296 €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2 229 950 €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-286 347 €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-11,4%</w:t>
            </w:r>
          </w:p>
        </w:tc>
      </w:tr>
      <w:tr w:rsidR="00845770" w:rsidRPr="002044AB" w:rsidTr="00845770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23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Immobilisations en cours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1 897 348 €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3 148 604 €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1 251 256 €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2044AB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66,0%</w:t>
            </w:r>
          </w:p>
        </w:tc>
      </w:tr>
      <w:tr w:rsidR="00845770" w:rsidRPr="00EF6630" w:rsidTr="00845770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EF6630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lang w:eastAsia="fr-FR"/>
              </w:rPr>
              <w:t> 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EF6630" w:rsidRDefault="00845770" w:rsidP="002044A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lang w:eastAsia="fr-FR"/>
              </w:rPr>
              <w:t>Total Dépenses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EF6630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lang w:eastAsia="fr-FR"/>
              </w:rPr>
              <w:t>9 486 213 €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EF6630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lang w:eastAsia="fr-FR"/>
              </w:rPr>
              <w:t>10 574 714 €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EF6630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lang w:eastAsia="fr-FR"/>
              </w:rPr>
              <w:t>1 088 502 €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0" w:rsidRPr="00EF6630" w:rsidRDefault="00845770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EF6630">
              <w:rPr>
                <w:rFonts w:ascii="Calibri" w:eastAsia="Times New Roman" w:hAnsi="Calibri" w:cs="Calibri"/>
                <w:b/>
                <w:lang w:eastAsia="fr-FR"/>
              </w:rPr>
              <w:t>11,5%</w:t>
            </w:r>
          </w:p>
        </w:tc>
      </w:tr>
    </w:tbl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8C687E" w:rsidRPr="007E4018" w:rsidRDefault="008C687E" w:rsidP="0093096C">
      <w:pPr>
        <w:jc w:val="both"/>
      </w:pPr>
      <w:r w:rsidRPr="007E4018">
        <w:t>En 20</w:t>
      </w:r>
      <w:r w:rsidR="009B7D2B" w:rsidRPr="007E4018">
        <w:t>20</w:t>
      </w:r>
      <w:r w:rsidRPr="007E4018">
        <w:t>, la CARO s’est engagé</w:t>
      </w:r>
      <w:r w:rsidR="00B85B5A" w:rsidRPr="007E4018">
        <w:t>e</w:t>
      </w:r>
      <w:r w:rsidRPr="007E4018">
        <w:t xml:space="preserve"> sur un niveau d’investissement soutenu puisque les dépenses d’équipements payées s’élèvent à </w:t>
      </w:r>
      <w:r w:rsidR="009B7D2B" w:rsidRPr="007E4018">
        <w:t>8 731</w:t>
      </w:r>
      <w:r w:rsidRPr="007E4018">
        <w:t xml:space="preserve"> K€, et 4 </w:t>
      </w:r>
      <w:r w:rsidR="009B7D2B" w:rsidRPr="007E4018">
        <w:t>149</w:t>
      </w:r>
      <w:r w:rsidRPr="007E4018">
        <w:t xml:space="preserve"> K€ restent à réaliser et seront inscrits en reports sur l’exercice 202</w:t>
      </w:r>
      <w:r w:rsidR="009B7D2B" w:rsidRPr="007E4018">
        <w:t>1</w:t>
      </w:r>
      <w:r w:rsidRPr="007E4018">
        <w:t xml:space="preserve">. </w:t>
      </w:r>
      <w:r w:rsidR="009B7D2B" w:rsidRPr="007E4018">
        <w:t>Il convient de noter que les dépenses d’équipement augmentent de 32% entre 2019 et 2020.</w:t>
      </w:r>
    </w:p>
    <w:p w:rsidR="009B7D2B" w:rsidRPr="007E4018" w:rsidRDefault="009B7D2B" w:rsidP="0093096C">
      <w:pPr>
        <w:jc w:val="both"/>
      </w:pPr>
    </w:p>
    <w:p w:rsidR="00BC4329" w:rsidRPr="007E4018" w:rsidRDefault="008C687E" w:rsidP="0093096C">
      <w:pPr>
        <w:jc w:val="both"/>
      </w:pPr>
      <w:r w:rsidRPr="007E4018">
        <w:t xml:space="preserve">Le taux de réalisation des dépenses d’équipement </w:t>
      </w:r>
      <w:r w:rsidR="000A6396">
        <w:t xml:space="preserve">inscrites </w:t>
      </w:r>
      <w:r w:rsidRPr="007E4018">
        <w:t xml:space="preserve">s’élève à </w:t>
      </w:r>
      <w:r w:rsidR="00BC4329" w:rsidRPr="007E4018">
        <w:t>93</w:t>
      </w:r>
      <w:r w:rsidRPr="007E4018">
        <w:t>%, restes à réaliser inclus.</w:t>
      </w:r>
      <w:r w:rsidR="00BC4329" w:rsidRPr="007E4018">
        <w:t xml:space="preserve"> </w:t>
      </w:r>
    </w:p>
    <w:p w:rsidR="008C687E" w:rsidRPr="007E4018" w:rsidRDefault="00BC4329" w:rsidP="0093096C">
      <w:pPr>
        <w:jc w:val="both"/>
      </w:pPr>
      <w:r w:rsidRPr="007E4018">
        <w:t xml:space="preserve">Lors de la présentation du rapport du CA 2019, ce taux était de 88%. </w:t>
      </w:r>
      <w:r w:rsidR="009B7D2B" w:rsidRPr="007E4018">
        <w:t xml:space="preserve">Un travail de mise en adéquation entre les inscriptions budgétaires et la capacité de réalisation de la collectivité a été réalisé pour améliorer ce taux de réalisation. </w:t>
      </w:r>
    </w:p>
    <w:p w:rsidR="004C7374" w:rsidRPr="007E4018" w:rsidRDefault="004C7374" w:rsidP="0093096C">
      <w:pPr>
        <w:jc w:val="both"/>
      </w:pPr>
    </w:p>
    <w:p w:rsidR="00174811" w:rsidRDefault="00174811">
      <w:pPr>
        <w:spacing w:after="200" w:line="276" w:lineRule="auto"/>
      </w:pPr>
      <w:r>
        <w:br w:type="page"/>
      </w:r>
    </w:p>
    <w:p w:rsidR="008C687E" w:rsidRPr="007E4018" w:rsidRDefault="008C687E" w:rsidP="0093096C">
      <w:pPr>
        <w:jc w:val="both"/>
      </w:pPr>
      <w:r w:rsidRPr="007E4018">
        <w:lastRenderedPageBreak/>
        <w:t>Les dépenses d’équipement réalisées en 20</w:t>
      </w:r>
      <w:r w:rsidR="009B7D2B" w:rsidRPr="007E4018">
        <w:t>20</w:t>
      </w:r>
      <w:r w:rsidR="001C720E">
        <w:t xml:space="preserve"> se répartissent </w:t>
      </w:r>
      <w:r w:rsidR="000A6396">
        <w:t>par secteurs de la manière suivante</w:t>
      </w:r>
      <w:r w:rsidRPr="007E4018">
        <w:t> :</w:t>
      </w:r>
    </w:p>
    <w:p w:rsidR="000A6396" w:rsidRDefault="009B7D2B" w:rsidP="000A6396">
      <w:pPr>
        <w:spacing w:after="0" w:line="240" w:lineRule="auto"/>
        <w:jc w:val="center"/>
        <w:rPr>
          <w:color w:val="FF0000"/>
        </w:rPr>
      </w:pPr>
      <w:r>
        <w:rPr>
          <w:noProof/>
          <w:lang w:eastAsia="fr-FR"/>
        </w:rPr>
        <w:drawing>
          <wp:inline distT="0" distB="0" distL="0" distR="0" wp14:anchorId="5808AD23" wp14:editId="5FE6F8D2">
            <wp:extent cx="4838700" cy="3876675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8095" w:type="dxa"/>
        <w:jc w:val="center"/>
        <w:tblInd w:w="1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5231"/>
        <w:gridCol w:w="1291"/>
        <w:gridCol w:w="1291"/>
      </w:tblGrid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vAlign w:val="center"/>
          </w:tcPr>
          <w:p w:rsidR="007E4018" w:rsidRPr="007E4018" w:rsidRDefault="007E4018" w:rsidP="001C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</w:tcPr>
          <w:p w:rsidR="007E4018" w:rsidRPr="007E4018" w:rsidRDefault="007E4018" w:rsidP="001C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Mandaté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Report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GEMAPI, Pluvial &amp; environnement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3 108 200 €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1 563 711 €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PAPI Baie d'Yves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1 326 544 €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47 756 €</w:t>
            </w:r>
          </w:p>
        </w:tc>
      </w:tr>
      <w:tr w:rsidR="00625477" w:rsidRPr="007E4018" w:rsidTr="00625477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625477" w:rsidRPr="007E4018" w:rsidRDefault="00625477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477" w:rsidRPr="007E4018" w:rsidRDefault="00625477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PAPI Charente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77" w:rsidRDefault="00625477" w:rsidP="0062547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723 133 €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477" w:rsidRDefault="00625477" w:rsidP="0062547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269 008 €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Pluvial - hors Rochefort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521 397 €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643 939 €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0A639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 xml:space="preserve">Etudes et travaux </w:t>
            </w:r>
            <w:r w:rsidR="000A6396">
              <w:rPr>
                <w:rFonts w:ascii="Calibri" w:eastAsia="Times New Roman" w:hAnsi="Calibri" w:cs="Calibri"/>
                <w:lang w:eastAsia="fr-FR"/>
              </w:rPr>
              <w:t>sur réseaux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227 674 €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281 020 €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Pluvial - Rochefort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185 036 €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243 042 €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SMCA</w:t>
            </w:r>
            <w:r w:rsidR="000A6396">
              <w:rPr>
                <w:rFonts w:ascii="Calibri" w:eastAsia="Times New Roman" w:hAnsi="Calibri" w:cs="Calibri"/>
                <w:lang w:eastAsia="fr-FR"/>
              </w:rPr>
              <w:t xml:space="preserve"> – Gestion des Milieux Aquatiques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76 495 €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Confortement des berges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28 668 €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1 200 €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7E4018">
              <w:rPr>
                <w:rFonts w:ascii="Calibri" w:eastAsia="Times New Roman" w:hAnsi="Calibri" w:cs="Calibri"/>
                <w:lang w:eastAsia="fr-FR"/>
              </w:rPr>
              <w:t>Natura</w:t>
            </w:r>
            <w:proofErr w:type="spellEnd"/>
            <w:r w:rsidRPr="007E4018">
              <w:rPr>
                <w:rFonts w:ascii="Calibri" w:eastAsia="Times New Roman" w:hAnsi="Calibri" w:cs="Calibri"/>
                <w:lang w:eastAsia="fr-FR"/>
              </w:rPr>
              <w:t xml:space="preserve"> 2000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11 820 €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10 181 €</w:t>
            </w:r>
          </w:p>
        </w:tc>
      </w:tr>
      <w:tr w:rsidR="00BC4A9B" w:rsidRPr="007E4018" w:rsidTr="00BC4A9B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BC4A9B" w:rsidRPr="007E4018" w:rsidRDefault="00BC4A9B" w:rsidP="00BC4A9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A9B" w:rsidRPr="007E4018" w:rsidRDefault="00BC4A9B" w:rsidP="00BC4A9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Subvention équipement LPO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9B" w:rsidRPr="007E4018" w:rsidRDefault="00BC4A9B" w:rsidP="00BC4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A9B" w:rsidRPr="007E4018" w:rsidRDefault="00BC4A9B" w:rsidP="00BC4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60 000 €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Divers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7 434 €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7 566 €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Sports &amp; nautisme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2 034 293 €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51 212 €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Golf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1 996 632 €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42 243 €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Divers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37 661 €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8 969 €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Administration générale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923 844 €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BBB59" w:themeFill="accent3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896 306 €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Fonds de concours</w:t>
            </w:r>
            <w:r w:rsidR="009A6FC1">
              <w:rPr>
                <w:rFonts w:ascii="Calibri" w:eastAsia="Times New Roman" w:hAnsi="Calibri" w:cs="Calibri"/>
                <w:lang w:eastAsia="fr-FR"/>
              </w:rPr>
              <w:t xml:space="preserve"> aux communes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501 998 €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390 003 €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Informatique : logiciels, matériels &amp; études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339 049 €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464 379 €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Marchés publics : Avances &amp; frais d'insertion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27 817 €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10 756 €</w:t>
            </w:r>
          </w:p>
        </w:tc>
      </w:tr>
      <w:tr w:rsidR="001C720E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vAlign w:val="center"/>
          </w:tcPr>
          <w:p w:rsidR="001C720E" w:rsidRPr="007E4018" w:rsidRDefault="001C720E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0E" w:rsidRPr="007E4018" w:rsidRDefault="001C720E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Mutualisation des services ressources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0E" w:rsidRPr="007E4018" w:rsidRDefault="001C720E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9 100 €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0E" w:rsidRPr="007E4018" w:rsidRDefault="001C720E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</w:tr>
      <w:tr w:rsidR="001C720E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vAlign w:val="center"/>
          </w:tcPr>
          <w:p w:rsidR="001C720E" w:rsidRPr="007E4018" w:rsidRDefault="001C720E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0E" w:rsidRPr="007E4018" w:rsidRDefault="009A6FC1" w:rsidP="009A6FC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Matériel </w:t>
            </w:r>
            <w:r w:rsidR="001C720E" w:rsidRPr="007E4018">
              <w:rPr>
                <w:rFonts w:ascii="Calibri" w:eastAsia="Times New Roman" w:hAnsi="Calibri" w:cs="Calibri"/>
                <w:lang w:eastAsia="fr-FR"/>
              </w:rPr>
              <w:t>Communication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0E" w:rsidRPr="007E4018" w:rsidRDefault="001C720E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5 020 €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0E" w:rsidRPr="007E4018" w:rsidRDefault="001C720E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5 730 €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Divers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BC4A9B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40</w:t>
            </w:r>
            <w:r w:rsidR="007E4018" w:rsidRPr="007E4018">
              <w:rPr>
                <w:rFonts w:ascii="Calibri" w:eastAsia="Times New Roman" w:hAnsi="Calibri" w:cs="Calibri"/>
                <w:lang w:eastAsia="fr-FR"/>
              </w:rPr>
              <w:t xml:space="preserve"> 859 €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25 438 €</w:t>
            </w:r>
          </w:p>
        </w:tc>
      </w:tr>
    </w:tbl>
    <w:p w:rsidR="00BC4A9B" w:rsidRDefault="00BC4A9B">
      <w:r>
        <w:br w:type="page"/>
      </w:r>
    </w:p>
    <w:tbl>
      <w:tblPr>
        <w:tblW w:w="8095" w:type="dxa"/>
        <w:jc w:val="center"/>
        <w:tblInd w:w="1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5231"/>
        <w:gridCol w:w="1291"/>
        <w:gridCol w:w="1291"/>
      </w:tblGrid>
      <w:tr w:rsidR="001C720E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vAlign w:val="center"/>
          </w:tcPr>
          <w:p w:rsidR="001C720E" w:rsidRPr="007E4018" w:rsidRDefault="001C720E" w:rsidP="001C7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</w:tcPr>
          <w:p w:rsidR="001C720E" w:rsidRPr="007E4018" w:rsidRDefault="001C720E" w:rsidP="001C7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C720E" w:rsidRPr="007E4018" w:rsidRDefault="001C720E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Mandaté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:rsidR="001C720E" w:rsidRPr="007E4018" w:rsidRDefault="001C720E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Report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Tourisme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64A2" w:themeFill="accent4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857 208 €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64A2" w:themeFill="accent4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505 138 €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Pont Transbordeur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668 681 €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188 781 €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Pistes cyclables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116 998 €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19 896 €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Grands projets Marais de Brouage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39 443 €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27 638 €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Signalétique touristique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19 342 €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6 701 €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Travaux aires de camping-car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10 973 €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Grand Site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1 771 €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Valorisation de l'Ile Madame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32 000 €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Requalif</w:t>
            </w:r>
            <w:r w:rsidR="009A6FC1">
              <w:rPr>
                <w:rFonts w:ascii="Calibri" w:eastAsia="Times New Roman" w:hAnsi="Calibri" w:cs="Calibri"/>
                <w:lang w:eastAsia="fr-FR"/>
              </w:rPr>
              <w:t>ication de la Pointe de la Fumé</w:t>
            </w:r>
            <w:r w:rsidRPr="007E4018">
              <w:rPr>
                <w:rFonts w:ascii="Calibri" w:eastAsia="Times New Roman" w:hAnsi="Calibri" w:cs="Calibri"/>
                <w:lang w:eastAsia="fr-FR"/>
              </w:rPr>
              <w:t>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29 406 €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9A6FC1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Participation </w:t>
            </w:r>
            <w:r w:rsidR="007E4018" w:rsidRPr="007E4018">
              <w:rPr>
                <w:rFonts w:ascii="Calibri" w:eastAsia="Times New Roman" w:hAnsi="Calibri" w:cs="Calibri"/>
                <w:lang w:eastAsia="fr-FR"/>
              </w:rPr>
              <w:t>Passerelle Charente Seudre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159 717 €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9A6FC1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Participation </w:t>
            </w:r>
            <w:r w:rsidR="007E4018" w:rsidRPr="007E4018">
              <w:rPr>
                <w:rFonts w:ascii="Calibri" w:eastAsia="Times New Roman" w:hAnsi="Calibri" w:cs="Calibri"/>
                <w:lang w:eastAsia="fr-FR"/>
              </w:rPr>
              <w:t>études forts privés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41 000 €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Culture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789 946 €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BACC6" w:themeFill="accent5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341 319 €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Salle culturelle des Fourriers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552 718 €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50 289 €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Réseau lecture publique et médiathèques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106 196 €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252 762 €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Conservatoire de musique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68 368 €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4 024 €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Musiques actuelles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43 832 €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80 €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 xml:space="preserve">Clos </w:t>
            </w:r>
            <w:proofErr w:type="spellStart"/>
            <w:r w:rsidRPr="007E4018">
              <w:rPr>
                <w:rFonts w:ascii="Calibri" w:eastAsia="Times New Roman" w:hAnsi="Calibri" w:cs="Calibri"/>
                <w:lang w:eastAsia="fr-FR"/>
              </w:rPr>
              <w:t>Laperouse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18 832 €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9 946 €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Subventions patrimoine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24 218 €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Habitat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623 473 €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208 578 €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Subventions Habitat, PLH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423 396 €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61 000 €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SCOT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76 646 €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80 536 €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7E4018">
              <w:rPr>
                <w:rFonts w:ascii="Calibri" w:eastAsia="Times New Roman" w:hAnsi="Calibri" w:cs="Calibri"/>
                <w:lang w:eastAsia="fr-FR"/>
              </w:rPr>
              <w:t>Fisac</w:t>
            </w:r>
            <w:proofErr w:type="spellEnd"/>
            <w:r w:rsidR="009A6FC1">
              <w:rPr>
                <w:rFonts w:ascii="Calibri" w:eastAsia="Times New Roman" w:hAnsi="Calibri" w:cs="Calibri"/>
                <w:lang w:eastAsia="fr-FR"/>
              </w:rPr>
              <w:t xml:space="preserve"> - solde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59 807 €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F79646" w:themeFill="accent6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Aires de gens du voyage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57 424 €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452 €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 xml:space="preserve">Projet paysager agricole &amp; </w:t>
            </w:r>
            <w:proofErr w:type="spellStart"/>
            <w:r w:rsidRPr="007E4018">
              <w:rPr>
                <w:rFonts w:ascii="Calibri" w:eastAsia="Times New Roman" w:hAnsi="Calibri" w:cs="Calibri"/>
                <w:lang w:eastAsia="fr-FR"/>
              </w:rPr>
              <w:t>conchilicole</w:t>
            </w:r>
            <w:proofErr w:type="spellEnd"/>
            <w:r w:rsidRPr="007E4018">
              <w:rPr>
                <w:rFonts w:ascii="Calibri" w:eastAsia="Times New Roman" w:hAnsi="Calibri" w:cs="Calibri"/>
                <w:lang w:eastAsia="fr-FR"/>
              </w:rPr>
              <w:t xml:space="preserve"> OGS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6 200 €</w:t>
            </w:r>
          </w:p>
        </w:tc>
        <w:tc>
          <w:tcPr>
            <w:tcW w:w="129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9 150 €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7E4018">
              <w:rPr>
                <w:rFonts w:ascii="Calibri" w:eastAsia="Times New Roman" w:hAnsi="Calibri" w:cs="Calibri"/>
                <w:lang w:eastAsia="fr-FR"/>
              </w:rPr>
              <w:t>Altéa</w:t>
            </w:r>
            <w:proofErr w:type="spellEnd"/>
            <w:r w:rsidRPr="007E4018">
              <w:rPr>
                <w:rFonts w:ascii="Calibri" w:eastAsia="Times New Roman" w:hAnsi="Calibri" w:cs="Calibri"/>
                <w:lang w:eastAsia="fr-FR"/>
              </w:rPr>
              <w:t xml:space="preserve"> Cabestan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52 440 €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Divers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5 000 €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Services techniques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363 658 €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574 872 €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Véhicules, matériels et outillages techniques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238 138 €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15 484 €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Hangar Atelier CARO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49 626 €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7 184 €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Travaux bâtiments CARO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BC4A9B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49 037</w:t>
            </w:r>
            <w:r w:rsidR="007E4018" w:rsidRPr="007E4018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BC4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2</w:t>
            </w:r>
            <w:r w:rsidR="00BC4A9B">
              <w:rPr>
                <w:rFonts w:ascii="Calibri" w:eastAsia="Times New Roman" w:hAnsi="Calibri" w:cs="Calibri"/>
                <w:lang w:eastAsia="fr-FR"/>
              </w:rPr>
              <w:t>20 927</w:t>
            </w:r>
            <w:r w:rsidRPr="007E4018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BC4A9B" w:rsidP="00BC4A9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La boite - bureaux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25 040 €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257 691 €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Travaux SNSM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1 818 €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73 587 €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Santé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30 704 €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8 160 €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Lutte contre les déserts médicaux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16 560 €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8 160 €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Crise Sanitaire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14 144 €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</w:tr>
      <w:tr w:rsidR="007E4018" w:rsidRPr="007E4018" w:rsidTr="001C720E">
        <w:trPr>
          <w:trHeight w:val="300"/>
          <w:tblHeader/>
          <w:jc w:val="center"/>
        </w:trPr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vAlign w:val="center"/>
          </w:tcPr>
          <w:p w:rsidR="007E4018" w:rsidRPr="007E4018" w:rsidRDefault="007E4018" w:rsidP="001C7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8 731 327 €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:rsidR="007E4018" w:rsidRPr="007E4018" w:rsidRDefault="007E4018" w:rsidP="001C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4 149 295 €</w:t>
            </w:r>
          </w:p>
        </w:tc>
      </w:tr>
    </w:tbl>
    <w:p w:rsidR="007E4018" w:rsidRPr="00F55080" w:rsidRDefault="007E4018" w:rsidP="009B7D2B">
      <w:pPr>
        <w:spacing w:after="0" w:line="240" w:lineRule="auto"/>
        <w:jc w:val="center"/>
        <w:rPr>
          <w:color w:val="FF0000"/>
        </w:rPr>
      </w:pPr>
    </w:p>
    <w:p w:rsidR="00174811" w:rsidRDefault="00174811">
      <w:pPr>
        <w:spacing w:after="200" w:line="276" w:lineRule="auto"/>
        <w:rPr>
          <w:rFonts w:eastAsiaTheme="majorEastAsia" w:cstheme="majorBidi"/>
          <w:b/>
          <w:bCs/>
          <w:color w:val="4F81BD" w:themeColor="accent1"/>
          <w:sz w:val="28"/>
          <w:szCs w:val="26"/>
        </w:rPr>
      </w:pPr>
      <w:r>
        <w:br w:type="page"/>
      </w:r>
    </w:p>
    <w:p w:rsidR="0080541E" w:rsidRDefault="0080541E" w:rsidP="0080541E">
      <w:pPr>
        <w:pStyle w:val="Titre2"/>
      </w:pPr>
      <w:bookmarkStart w:id="46" w:name="_Toc74317344"/>
      <w:r>
        <w:lastRenderedPageBreak/>
        <w:t>Le résultat 20</w:t>
      </w:r>
      <w:r w:rsidR="00205732">
        <w:t>20</w:t>
      </w:r>
      <w:r>
        <w:t xml:space="preserve"> et son affectation</w:t>
      </w:r>
      <w:bookmarkEnd w:id="46"/>
    </w:p>
    <w:tbl>
      <w:tblPr>
        <w:tblW w:w="7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0"/>
        <w:gridCol w:w="779"/>
        <w:gridCol w:w="1711"/>
      </w:tblGrid>
      <w:tr w:rsidR="00205732" w:rsidRPr="00205732" w:rsidTr="00205732">
        <w:trPr>
          <w:trHeight w:val="300"/>
          <w:jc w:val="center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732" w:rsidRPr="00205732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b/>
                <w:bCs/>
                <w:lang w:eastAsia="fr-FR"/>
              </w:rPr>
              <w:t>AFFECTATION DU RESULTAT DE FONCTIONNEMENT 2020</w:t>
            </w:r>
          </w:p>
        </w:tc>
      </w:tr>
      <w:tr w:rsidR="00205732" w:rsidRPr="00205732" w:rsidTr="00205732">
        <w:trPr>
          <w:trHeight w:val="300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205732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b/>
                <w:bCs/>
                <w:lang w:eastAsia="fr-FR"/>
              </w:rPr>
              <w:t>FONCTIONNEMENT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205732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32" w:rsidRPr="00205732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9432F" w:rsidRPr="00205732" w:rsidTr="00205732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2 170 211,37 €</w:t>
            </w:r>
          </w:p>
        </w:tc>
      </w:tr>
      <w:tr w:rsidR="0009432F" w:rsidRPr="00205732" w:rsidTr="00205732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432F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3 968 792,95 €</w:t>
            </w:r>
          </w:p>
        </w:tc>
      </w:tr>
      <w:tr w:rsidR="0009432F" w:rsidRPr="00205732" w:rsidTr="00205732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b/>
                <w:bCs/>
                <w:lang w:eastAsia="fr-FR"/>
              </w:rPr>
              <w:t>= Résultat à affecter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6 139 004,32 €</w:t>
            </w:r>
          </w:p>
        </w:tc>
      </w:tr>
      <w:tr w:rsidR="0009432F" w:rsidRPr="00205732" w:rsidTr="00205732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b/>
                <w:bCs/>
                <w:lang w:eastAsia="fr-FR"/>
              </w:rPr>
              <w:t>INVESTISSEMENT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9432F" w:rsidRPr="00205732" w:rsidTr="00205732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-330 734,51 €</w:t>
            </w:r>
          </w:p>
        </w:tc>
      </w:tr>
      <w:tr w:rsidR="0009432F" w:rsidRPr="00205732" w:rsidTr="00205732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432F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-1 472 041,50 €</w:t>
            </w:r>
          </w:p>
        </w:tc>
      </w:tr>
      <w:tr w:rsidR="0009432F" w:rsidRPr="00205732" w:rsidTr="00205732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lang w:eastAsia="fr-FR"/>
              </w:rPr>
              <w:t>= Résultat cumulé à reporter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BC4A9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lang w:eastAsia="fr-FR"/>
              </w:rPr>
              <w:t>D 001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-1 802 776,01 €</w:t>
            </w:r>
          </w:p>
        </w:tc>
      </w:tr>
      <w:tr w:rsidR="0009432F" w:rsidRPr="00205732" w:rsidTr="00205732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lang w:eastAsia="fr-FR"/>
              </w:rPr>
              <w:t>Solde des restes à réaliser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BC4A9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-2 032 844,68 €</w:t>
            </w:r>
          </w:p>
        </w:tc>
      </w:tr>
      <w:tr w:rsidR="0009432F" w:rsidRPr="00205732" w:rsidTr="00205732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b/>
                <w:bCs/>
                <w:lang w:eastAsia="fr-FR"/>
              </w:rPr>
              <w:t>= Besoin de financement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BC4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-3 835 620,69 €</w:t>
            </w:r>
          </w:p>
        </w:tc>
      </w:tr>
      <w:tr w:rsidR="0009432F" w:rsidRPr="00205732" w:rsidTr="00205732">
        <w:trPr>
          <w:trHeight w:val="300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b/>
                <w:bCs/>
                <w:lang w:eastAsia="fr-FR"/>
              </w:rPr>
              <w:t>AFFECTATION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BC4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9432F" w:rsidRPr="00205732" w:rsidTr="00205732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lang w:eastAsia="fr-FR"/>
              </w:rPr>
              <w:t>Couverture du besoin de financement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BC4A9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lang w:eastAsia="fr-FR"/>
              </w:rPr>
              <w:t>R 1068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3 835 620,69 €</w:t>
            </w:r>
          </w:p>
        </w:tc>
      </w:tr>
      <w:tr w:rsidR="0009432F" w:rsidRPr="00205732" w:rsidTr="00205732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lang w:eastAsia="fr-FR"/>
              </w:rPr>
              <w:t>Excédent de fonctionnement restant à reporter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BC4A9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lang w:eastAsia="fr-FR"/>
              </w:rPr>
              <w:t>R 002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2 303 383,63 €</w:t>
            </w:r>
          </w:p>
        </w:tc>
      </w:tr>
      <w:tr w:rsidR="0009432F" w:rsidRPr="00205732" w:rsidTr="00205732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lang w:eastAsia="fr-FR"/>
              </w:rPr>
              <w:t>Solde des restes à réaliser de fonctionnement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05732" w:rsidRDefault="0009432F" w:rsidP="00BC4A9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-418 594,75 €</w:t>
            </w:r>
          </w:p>
        </w:tc>
      </w:tr>
      <w:tr w:rsidR="0009432F" w:rsidRPr="00205732" w:rsidTr="00205732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b/>
                <w:bCs/>
                <w:lang w:eastAsia="fr-FR"/>
              </w:rPr>
              <w:t>RESULTAT GLOBAL 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05732" w:rsidRDefault="0009432F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05732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432F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1 884 788,88 €</w:t>
            </w:r>
          </w:p>
        </w:tc>
      </w:tr>
    </w:tbl>
    <w:p w:rsidR="00B077B0" w:rsidRDefault="00B077B0" w:rsidP="00B077B0">
      <w:pPr>
        <w:spacing w:after="0" w:line="240" w:lineRule="auto"/>
      </w:pPr>
    </w:p>
    <w:p w:rsidR="00845770" w:rsidRDefault="00845770" w:rsidP="00845770">
      <w:pPr>
        <w:jc w:val="both"/>
      </w:pPr>
      <w:r>
        <w:t>Pour mémoire, le résultat 2019 s’élevait à 2 142 K €.</w:t>
      </w:r>
      <w:r w:rsidRPr="00FF67E1">
        <w:t xml:space="preserve"> </w:t>
      </w:r>
    </w:p>
    <w:p w:rsidR="00174811" w:rsidRDefault="00174811" w:rsidP="0080541E">
      <w:pPr>
        <w:pStyle w:val="Titre2"/>
      </w:pPr>
      <w:r>
        <w:br w:type="page"/>
      </w:r>
    </w:p>
    <w:p w:rsidR="0080541E" w:rsidRDefault="0080541E" w:rsidP="0080541E">
      <w:pPr>
        <w:pStyle w:val="Titre2"/>
      </w:pPr>
      <w:bookmarkStart w:id="47" w:name="_Toc74317345"/>
      <w:r>
        <w:lastRenderedPageBreak/>
        <w:t>Eléments complémentaires : Note brève &amp; synthétique</w:t>
      </w:r>
      <w:bookmarkEnd w:id="47"/>
    </w:p>
    <w:p w:rsidR="00E630B4" w:rsidRPr="007B3E6C" w:rsidRDefault="00E630B4" w:rsidP="00875C2B">
      <w:pPr>
        <w:pStyle w:val="Titre3"/>
      </w:pPr>
      <w:bookmarkStart w:id="48" w:name="_Toc74317346"/>
      <w:r>
        <w:t>Niveau des épargnes</w:t>
      </w:r>
      <w:bookmarkEnd w:id="48"/>
    </w:p>
    <w:tbl>
      <w:tblPr>
        <w:tblW w:w="8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639"/>
        <w:gridCol w:w="1403"/>
        <w:gridCol w:w="1403"/>
      </w:tblGrid>
      <w:tr w:rsidR="002044AB" w:rsidRPr="002044AB" w:rsidTr="001C720E">
        <w:trPr>
          <w:trHeight w:val="300"/>
          <w:jc w:val="center"/>
        </w:trPr>
        <w:tc>
          <w:tcPr>
            <w:tcW w:w="61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</w:t>
            </w:r>
          </w:p>
        </w:tc>
      </w:tr>
      <w:tr w:rsidR="002044AB" w:rsidRPr="002044AB" w:rsidTr="001C720E">
        <w:trPr>
          <w:trHeight w:val="315"/>
          <w:jc w:val="center"/>
        </w:trPr>
        <w:tc>
          <w:tcPr>
            <w:tcW w:w="61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2020</w:t>
            </w:r>
          </w:p>
        </w:tc>
      </w:tr>
      <w:tr w:rsidR="002044AB" w:rsidRPr="002044AB" w:rsidTr="001C720E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013</w:t>
            </w:r>
          </w:p>
        </w:tc>
        <w:tc>
          <w:tcPr>
            <w:tcW w:w="563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Atténuations de charges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324 312 €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206 481 €</w:t>
            </w:r>
          </w:p>
        </w:tc>
      </w:tr>
      <w:tr w:rsidR="002044AB" w:rsidRPr="002044AB" w:rsidTr="001C720E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70</w:t>
            </w:r>
          </w:p>
        </w:tc>
        <w:tc>
          <w:tcPr>
            <w:tcW w:w="563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Produits de services, du domaine &amp; ventes diverses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793 158 €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1 398 170 €</w:t>
            </w:r>
          </w:p>
        </w:tc>
      </w:tr>
      <w:tr w:rsidR="002044AB" w:rsidRPr="002044AB" w:rsidTr="001C720E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73</w:t>
            </w:r>
          </w:p>
        </w:tc>
        <w:tc>
          <w:tcPr>
            <w:tcW w:w="563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Impôts et taxes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21 102 148 €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22 955 306 €</w:t>
            </w:r>
          </w:p>
        </w:tc>
      </w:tr>
      <w:tr w:rsidR="002044AB" w:rsidRPr="002044AB" w:rsidTr="001C720E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74</w:t>
            </w:r>
          </w:p>
        </w:tc>
        <w:tc>
          <w:tcPr>
            <w:tcW w:w="563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Dotations, subventions et participations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6 584 095 €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6 926 155 €</w:t>
            </w:r>
          </w:p>
        </w:tc>
      </w:tr>
      <w:tr w:rsidR="002044AB" w:rsidRPr="002044AB" w:rsidTr="001C720E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75</w:t>
            </w:r>
          </w:p>
        </w:tc>
        <w:tc>
          <w:tcPr>
            <w:tcW w:w="563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Autres produits de gestion courante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405 332 €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466 986 €</w:t>
            </w:r>
          </w:p>
        </w:tc>
      </w:tr>
      <w:tr w:rsidR="002044AB" w:rsidRPr="002044AB" w:rsidTr="001C720E">
        <w:trPr>
          <w:trHeight w:val="315"/>
          <w:jc w:val="center"/>
        </w:trPr>
        <w:tc>
          <w:tcPr>
            <w:tcW w:w="6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Recettes réelles de fonctionnement</w:t>
            </w:r>
            <w:r w:rsidRPr="002044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29 209 045 €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31 953 098 €</w:t>
            </w:r>
          </w:p>
        </w:tc>
      </w:tr>
      <w:tr w:rsidR="002044AB" w:rsidRPr="002044AB" w:rsidTr="001C720E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011</w:t>
            </w:r>
          </w:p>
        </w:tc>
        <w:tc>
          <w:tcPr>
            <w:tcW w:w="563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 xml:space="preserve">Charges </w:t>
            </w:r>
            <w:proofErr w:type="spellStart"/>
            <w:r w:rsidRPr="002044AB">
              <w:rPr>
                <w:rFonts w:ascii="Calibri" w:eastAsia="Times New Roman" w:hAnsi="Calibri" w:cs="Calibri"/>
                <w:lang w:eastAsia="fr-FR"/>
              </w:rPr>
              <w:t>a</w:t>
            </w:r>
            <w:proofErr w:type="spellEnd"/>
            <w:r w:rsidRPr="002044AB">
              <w:rPr>
                <w:rFonts w:ascii="Calibri" w:eastAsia="Times New Roman" w:hAnsi="Calibri" w:cs="Calibri"/>
                <w:lang w:eastAsia="fr-FR"/>
              </w:rPr>
              <w:t xml:space="preserve"> caractère général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3 821 608 €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4 057 942 €</w:t>
            </w:r>
          </w:p>
        </w:tc>
      </w:tr>
      <w:tr w:rsidR="002044AB" w:rsidRPr="002044AB" w:rsidTr="001C720E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012</w:t>
            </w:r>
          </w:p>
        </w:tc>
        <w:tc>
          <w:tcPr>
            <w:tcW w:w="563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Charges de personnel et frais assimiles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10 994 800 €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12 291 602 €</w:t>
            </w:r>
          </w:p>
        </w:tc>
      </w:tr>
      <w:tr w:rsidR="002044AB" w:rsidRPr="002044AB" w:rsidTr="001C720E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014</w:t>
            </w:r>
          </w:p>
        </w:tc>
        <w:tc>
          <w:tcPr>
            <w:tcW w:w="563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Atténuations de produits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2 629 027 €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2 443 803 €</w:t>
            </w:r>
          </w:p>
        </w:tc>
      </w:tr>
      <w:tr w:rsidR="002044AB" w:rsidRPr="002044AB" w:rsidTr="001C720E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65</w:t>
            </w:r>
          </w:p>
        </w:tc>
        <w:tc>
          <w:tcPr>
            <w:tcW w:w="563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Autres charges de gestion courante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6 942 942 €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6 657 413 €</w:t>
            </w:r>
          </w:p>
        </w:tc>
      </w:tr>
      <w:tr w:rsidR="002044AB" w:rsidRPr="002044AB" w:rsidTr="001C720E">
        <w:trPr>
          <w:trHeight w:val="315"/>
          <w:jc w:val="center"/>
        </w:trPr>
        <w:tc>
          <w:tcPr>
            <w:tcW w:w="6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Dépenses réelles de fonctionnement</w:t>
            </w:r>
            <w:r w:rsidRPr="002044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24 388 377 €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25 450 760 €</w:t>
            </w:r>
          </w:p>
        </w:tc>
      </w:tr>
      <w:tr w:rsidR="002044AB" w:rsidRPr="002044AB" w:rsidTr="001C720E">
        <w:trPr>
          <w:trHeight w:val="315"/>
          <w:jc w:val="center"/>
        </w:trPr>
        <w:tc>
          <w:tcPr>
            <w:tcW w:w="6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Excédent brut courant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4 820 668 €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6 502 338 €</w:t>
            </w:r>
          </w:p>
        </w:tc>
      </w:tr>
      <w:tr w:rsidR="002044AB" w:rsidRPr="002044AB" w:rsidTr="001C720E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77</w:t>
            </w:r>
          </w:p>
        </w:tc>
        <w:tc>
          <w:tcPr>
            <w:tcW w:w="563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Produits exceptionnels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188 474 €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176 310 €</w:t>
            </w:r>
          </w:p>
        </w:tc>
      </w:tr>
      <w:tr w:rsidR="002044AB" w:rsidRPr="002044AB" w:rsidTr="001C720E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67</w:t>
            </w:r>
          </w:p>
        </w:tc>
        <w:tc>
          <w:tcPr>
            <w:tcW w:w="563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Charges exceptionnelles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189 298 €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786 575 €</w:t>
            </w:r>
          </w:p>
        </w:tc>
      </w:tr>
      <w:tr w:rsidR="002044AB" w:rsidRPr="002044AB" w:rsidTr="001C720E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78</w:t>
            </w:r>
          </w:p>
        </w:tc>
        <w:tc>
          <w:tcPr>
            <w:tcW w:w="563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Reprises sur amortissements et provisions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</w:tr>
      <w:tr w:rsidR="002044AB" w:rsidRPr="002044AB" w:rsidTr="001C720E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68</w:t>
            </w:r>
          </w:p>
        </w:tc>
        <w:tc>
          <w:tcPr>
            <w:tcW w:w="563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Dotations aux amortissements et aux provisions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</w:tr>
      <w:tr w:rsidR="002044AB" w:rsidRPr="002044AB" w:rsidTr="001C720E">
        <w:trPr>
          <w:trHeight w:val="315"/>
          <w:jc w:val="center"/>
        </w:trPr>
        <w:tc>
          <w:tcPr>
            <w:tcW w:w="6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Epargne de gestion</w:t>
            </w:r>
            <w:r w:rsidRPr="002044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4 819 844 €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BC4A9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5 892 073 €</w:t>
            </w:r>
          </w:p>
        </w:tc>
      </w:tr>
      <w:tr w:rsidR="002044AB" w:rsidRPr="002044AB" w:rsidTr="001C720E">
        <w:trPr>
          <w:trHeight w:val="315"/>
          <w:jc w:val="center"/>
        </w:trPr>
        <w:tc>
          <w:tcPr>
            <w:tcW w:w="6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Intérêts de la dette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369 358 €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343 429 €</w:t>
            </w:r>
          </w:p>
        </w:tc>
      </w:tr>
      <w:tr w:rsidR="002044AB" w:rsidRPr="002044AB" w:rsidTr="001C720E">
        <w:trPr>
          <w:trHeight w:val="315"/>
          <w:jc w:val="center"/>
        </w:trPr>
        <w:tc>
          <w:tcPr>
            <w:tcW w:w="6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Epargne brute (EG - intérêts)</w:t>
            </w:r>
            <w:r w:rsidRPr="002044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4 450 485 €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BC4A9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5 548 645 €</w:t>
            </w:r>
          </w:p>
        </w:tc>
      </w:tr>
      <w:tr w:rsidR="002044AB" w:rsidRPr="002044AB" w:rsidTr="001C720E">
        <w:trPr>
          <w:trHeight w:val="315"/>
          <w:jc w:val="center"/>
        </w:trPr>
        <w:tc>
          <w:tcPr>
            <w:tcW w:w="6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Capital remboursé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1 246 006 €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1 302 924 €</w:t>
            </w:r>
          </w:p>
        </w:tc>
      </w:tr>
      <w:tr w:rsidR="002044AB" w:rsidRPr="002044AB" w:rsidTr="001C720E">
        <w:trPr>
          <w:trHeight w:val="315"/>
          <w:jc w:val="center"/>
        </w:trPr>
        <w:tc>
          <w:tcPr>
            <w:tcW w:w="6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Epargne nette (EB - remboursement du capital)</w:t>
            </w:r>
            <w:r w:rsidRPr="002044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044AB">
              <w:rPr>
                <w:rFonts w:ascii="Calibri" w:eastAsia="Times New Roman" w:hAnsi="Calibri" w:cs="Calibri"/>
                <w:lang w:eastAsia="fr-FR"/>
              </w:rPr>
              <w:t>3 204 479 €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044AB" w:rsidRPr="002044AB" w:rsidRDefault="00BC4A9B" w:rsidP="00204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4 245 720 €</w:t>
            </w:r>
          </w:p>
        </w:tc>
      </w:tr>
    </w:tbl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E630B4" w:rsidRPr="007B3E6C" w:rsidRDefault="00E630B4" w:rsidP="00875C2B">
      <w:pPr>
        <w:pStyle w:val="Titre3"/>
      </w:pPr>
      <w:bookmarkStart w:id="49" w:name="_Toc74317347"/>
      <w:r>
        <w:t>Niveau d’endettement</w:t>
      </w:r>
      <w:bookmarkEnd w:id="49"/>
    </w:p>
    <w:tbl>
      <w:tblPr>
        <w:tblW w:w="765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2033"/>
      </w:tblGrid>
      <w:tr w:rsidR="002044AB" w:rsidRPr="002044AB" w:rsidTr="00BC4329">
        <w:trPr>
          <w:trHeight w:val="255"/>
          <w:jc w:val="center"/>
        </w:trPr>
        <w:tc>
          <w:tcPr>
            <w:tcW w:w="5620" w:type="dxa"/>
            <w:shd w:val="clear" w:color="auto" w:fill="DBE5F1" w:themeFill="accent1" w:themeFillTint="33"/>
            <w:noWrap/>
            <w:vAlign w:val="bottom"/>
            <w:hideMark/>
          </w:tcPr>
          <w:p w:rsidR="002044AB" w:rsidRPr="002044AB" w:rsidRDefault="002044AB" w:rsidP="002044A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2044AB">
              <w:rPr>
                <w:rFonts w:eastAsia="Times New Roman" w:cstheme="minorHAnsi"/>
                <w:b/>
                <w:lang w:eastAsia="fr-FR"/>
              </w:rPr>
              <w:t>Evolution de l'endettement</w:t>
            </w:r>
          </w:p>
        </w:tc>
        <w:tc>
          <w:tcPr>
            <w:tcW w:w="2033" w:type="dxa"/>
            <w:shd w:val="clear" w:color="auto" w:fill="DBE5F1" w:themeFill="accent1" w:themeFillTint="33"/>
            <w:noWrap/>
            <w:vAlign w:val="bottom"/>
            <w:hideMark/>
          </w:tcPr>
          <w:p w:rsidR="002044AB" w:rsidRPr="002044AB" w:rsidRDefault="002044AB" w:rsidP="002044A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2044AB">
              <w:rPr>
                <w:rFonts w:eastAsia="Times New Roman" w:cstheme="minorHAnsi"/>
                <w:b/>
                <w:lang w:eastAsia="fr-FR"/>
              </w:rPr>
              <w:t>Budget principal</w:t>
            </w:r>
          </w:p>
        </w:tc>
      </w:tr>
      <w:tr w:rsidR="002044AB" w:rsidRPr="002044AB" w:rsidTr="00BC4329">
        <w:trPr>
          <w:trHeight w:val="255"/>
          <w:jc w:val="center"/>
        </w:trPr>
        <w:tc>
          <w:tcPr>
            <w:tcW w:w="5620" w:type="dxa"/>
            <w:shd w:val="clear" w:color="auto" w:fill="auto"/>
            <w:noWrap/>
            <w:vAlign w:val="bottom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044AB">
              <w:rPr>
                <w:rFonts w:eastAsia="Times New Roman" w:cstheme="minorHAnsi"/>
                <w:lang w:eastAsia="fr-FR"/>
              </w:rPr>
              <w:t>Capital restant dû au 31/12/2019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044AB">
              <w:rPr>
                <w:rFonts w:eastAsia="Times New Roman" w:cstheme="minorHAnsi"/>
                <w:lang w:eastAsia="fr-FR"/>
              </w:rPr>
              <w:t>14 272 225 €</w:t>
            </w:r>
          </w:p>
        </w:tc>
      </w:tr>
      <w:tr w:rsidR="002044AB" w:rsidRPr="002044AB" w:rsidTr="00BC4329">
        <w:trPr>
          <w:trHeight w:val="255"/>
          <w:jc w:val="center"/>
        </w:trPr>
        <w:tc>
          <w:tcPr>
            <w:tcW w:w="5620" w:type="dxa"/>
            <w:shd w:val="clear" w:color="auto" w:fill="auto"/>
            <w:noWrap/>
            <w:vAlign w:val="bottom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044AB">
              <w:rPr>
                <w:rFonts w:eastAsia="Times New Roman" w:cstheme="minorHAnsi"/>
                <w:lang w:eastAsia="fr-FR"/>
              </w:rPr>
              <w:t>Emprunts nouveaux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044AB">
              <w:rPr>
                <w:rFonts w:eastAsia="Times New Roman" w:cstheme="minorHAnsi"/>
                <w:lang w:eastAsia="fr-FR"/>
              </w:rPr>
              <w:t>2 200 000 €</w:t>
            </w:r>
          </w:p>
        </w:tc>
      </w:tr>
      <w:tr w:rsidR="002044AB" w:rsidRPr="002044AB" w:rsidTr="00BC4329">
        <w:trPr>
          <w:trHeight w:val="255"/>
          <w:jc w:val="center"/>
        </w:trPr>
        <w:tc>
          <w:tcPr>
            <w:tcW w:w="5620" w:type="dxa"/>
            <w:shd w:val="clear" w:color="auto" w:fill="auto"/>
            <w:noWrap/>
            <w:vAlign w:val="bottom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044AB">
              <w:rPr>
                <w:rFonts w:eastAsia="Times New Roman" w:cstheme="minorHAnsi"/>
                <w:lang w:eastAsia="fr-FR"/>
              </w:rPr>
              <w:t>Capital remboursé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044AB">
              <w:rPr>
                <w:rFonts w:eastAsia="Times New Roman" w:cstheme="minorHAnsi"/>
                <w:lang w:eastAsia="fr-FR"/>
              </w:rPr>
              <w:t>1 302 924 €</w:t>
            </w:r>
          </w:p>
        </w:tc>
      </w:tr>
      <w:tr w:rsidR="002044AB" w:rsidRPr="002044AB" w:rsidTr="00BC4329">
        <w:trPr>
          <w:trHeight w:val="255"/>
          <w:jc w:val="center"/>
        </w:trPr>
        <w:tc>
          <w:tcPr>
            <w:tcW w:w="5620" w:type="dxa"/>
            <w:shd w:val="clear" w:color="auto" w:fill="auto"/>
            <w:noWrap/>
            <w:vAlign w:val="bottom"/>
            <w:hideMark/>
          </w:tcPr>
          <w:p w:rsidR="002044AB" w:rsidRPr="002044AB" w:rsidRDefault="002044AB" w:rsidP="002044A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044AB">
              <w:rPr>
                <w:rFonts w:eastAsia="Times New Roman" w:cstheme="minorHAnsi"/>
                <w:lang w:eastAsia="fr-FR"/>
              </w:rPr>
              <w:t>Capital restant dû au 31/12/2020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2044AB" w:rsidRPr="002044AB" w:rsidRDefault="002044AB" w:rsidP="002044AB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044AB">
              <w:rPr>
                <w:rFonts w:eastAsia="Times New Roman" w:cstheme="minorHAnsi"/>
                <w:lang w:eastAsia="fr-FR"/>
              </w:rPr>
              <w:t>15 169 301 €</w:t>
            </w:r>
          </w:p>
        </w:tc>
      </w:tr>
    </w:tbl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174811" w:rsidRDefault="00174811" w:rsidP="00875C2B">
      <w:pPr>
        <w:pStyle w:val="Titre3"/>
      </w:pPr>
      <w:r>
        <w:br w:type="page"/>
      </w:r>
    </w:p>
    <w:p w:rsidR="00E630B4" w:rsidRPr="007B3E6C" w:rsidRDefault="00E630B4" w:rsidP="00875C2B">
      <w:pPr>
        <w:pStyle w:val="Titre3"/>
      </w:pPr>
      <w:bookmarkStart w:id="50" w:name="_Toc74317348"/>
      <w:r>
        <w:lastRenderedPageBreak/>
        <w:t>Délai de désendettement</w:t>
      </w:r>
      <w:bookmarkEnd w:id="50"/>
    </w:p>
    <w:tbl>
      <w:tblPr>
        <w:tblW w:w="84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1420"/>
        <w:gridCol w:w="1420"/>
      </w:tblGrid>
      <w:tr w:rsidR="00DC68D0" w:rsidRPr="00DC68D0" w:rsidTr="00DC68D0">
        <w:trPr>
          <w:trHeight w:val="255"/>
        </w:trPr>
        <w:tc>
          <w:tcPr>
            <w:tcW w:w="5620" w:type="dxa"/>
            <w:shd w:val="clear" w:color="auto" w:fill="DBE5F1" w:themeFill="accent1" w:themeFillTint="33"/>
            <w:noWrap/>
            <w:vAlign w:val="bottom"/>
            <w:hideMark/>
          </w:tcPr>
          <w:p w:rsidR="00DC68D0" w:rsidRPr="00DC68D0" w:rsidRDefault="00DC68D0" w:rsidP="00DC68D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DC68D0">
              <w:rPr>
                <w:rFonts w:eastAsia="Times New Roman" w:cstheme="minorHAnsi"/>
                <w:b/>
                <w:lang w:eastAsia="fr-FR"/>
              </w:rPr>
              <w:t>Délai de désendettement</w:t>
            </w:r>
          </w:p>
        </w:tc>
        <w:tc>
          <w:tcPr>
            <w:tcW w:w="1420" w:type="dxa"/>
            <w:shd w:val="clear" w:color="auto" w:fill="DBE5F1" w:themeFill="accent1" w:themeFillTint="33"/>
            <w:noWrap/>
            <w:vAlign w:val="bottom"/>
            <w:hideMark/>
          </w:tcPr>
          <w:p w:rsidR="00DC68D0" w:rsidRPr="00DC68D0" w:rsidRDefault="00DC68D0" w:rsidP="00DC68D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DC68D0">
              <w:rPr>
                <w:rFonts w:eastAsia="Times New Roman" w:cstheme="minorHAnsi"/>
                <w:b/>
                <w:lang w:eastAsia="fr-FR"/>
              </w:rPr>
              <w:t>CA 2019</w:t>
            </w:r>
          </w:p>
        </w:tc>
        <w:tc>
          <w:tcPr>
            <w:tcW w:w="1420" w:type="dxa"/>
            <w:shd w:val="clear" w:color="auto" w:fill="DBE5F1" w:themeFill="accent1" w:themeFillTint="33"/>
            <w:noWrap/>
            <w:vAlign w:val="bottom"/>
            <w:hideMark/>
          </w:tcPr>
          <w:p w:rsidR="00DC68D0" w:rsidRPr="00DC68D0" w:rsidRDefault="00DC68D0" w:rsidP="00DC68D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DC68D0">
              <w:rPr>
                <w:rFonts w:eastAsia="Times New Roman" w:cstheme="minorHAnsi"/>
                <w:b/>
                <w:lang w:eastAsia="fr-FR"/>
              </w:rPr>
              <w:t>CA 2020</w:t>
            </w:r>
          </w:p>
        </w:tc>
      </w:tr>
      <w:tr w:rsidR="00DC68D0" w:rsidRPr="00DC68D0" w:rsidTr="00DC68D0">
        <w:trPr>
          <w:trHeight w:val="255"/>
        </w:trPr>
        <w:tc>
          <w:tcPr>
            <w:tcW w:w="5620" w:type="dxa"/>
            <w:shd w:val="clear" w:color="auto" w:fill="auto"/>
            <w:noWrap/>
            <w:vAlign w:val="bottom"/>
            <w:hideMark/>
          </w:tcPr>
          <w:p w:rsidR="00DC68D0" w:rsidRPr="00DC68D0" w:rsidRDefault="00DC68D0" w:rsidP="00DC68D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C68D0">
              <w:rPr>
                <w:rFonts w:eastAsia="Times New Roman" w:cstheme="minorHAnsi"/>
                <w:lang w:eastAsia="fr-FR"/>
              </w:rPr>
              <w:t>Capital restant dû au 31/12/2020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C68D0" w:rsidRPr="00DC68D0" w:rsidRDefault="00DC68D0" w:rsidP="00DC68D0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DC68D0">
              <w:rPr>
                <w:rFonts w:eastAsia="Times New Roman" w:cstheme="minorHAnsi"/>
                <w:lang w:eastAsia="fr-FR"/>
              </w:rPr>
              <w:t>14 272 225 €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C68D0" w:rsidRPr="00DC68D0" w:rsidRDefault="00DC68D0" w:rsidP="00DC68D0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DC68D0">
              <w:rPr>
                <w:rFonts w:eastAsia="Times New Roman" w:cstheme="minorHAnsi"/>
                <w:lang w:eastAsia="fr-FR"/>
              </w:rPr>
              <w:t>15 169 301 €</w:t>
            </w:r>
          </w:p>
        </w:tc>
      </w:tr>
      <w:tr w:rsidR="00BC4A9B" w:rsidRPr="00DC68D0" w:rsidTr="00BC4A9B">
        <w:trPr>
          <w:trHeight w:val="255"/>
        </w:trPr>
        <w:tc>
          <w:tcPr>
            <w:tcW w:w="5620" w:type="dxa"/>
            <w:shd w:val="clear" w:color="auto" w:fill="auto"/>
            <w:noWrap/>
            <w:vAlign w:val="bottom"/>
            <w:hideMark/>
          </w:tcPr>
          <w:p w:rsidR="00BC4A9B" w:rsidRPr="00DC68D0" w:rsidRDefault="00BC4A9B" w:rsidP="00DC68D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C68D0">
              <w:rPr>
                <w:rFonts w:eastAsia="Times New Roman" w:cstheme="minorHAnsi"/>
                <w:lang w:eastAsia="fr-FR"/>
              </w:rPr>
              <w:t>Epargne brute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C4A9B" w:rsidRPr="00DC68D0" w:rsidRDefault="00BC4A9B" w:rsidP="00DC68D0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DC68D0">
              <w:rPr>
                <w:rFonts w:eastAsia="Times New Roman" w:cstheme="minorHAnsi"/>
                <w:lang w:eastAsia="fr-FR"/>
              </w:rPr>
              <w:t>4 450 485 €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C4A9B" w:rsidRPr="002044AB" w:rsidRDefault="00BC4A9B" w:rsidP="00BC4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5 548 645 €</w:t>
            </w:r>
          </w:p>
        </w:tc>
      </w:tr>
      <w:tr w:rsidR="00DC68D0" w:rsidRPr="00DC68D0" w:rsidTr="00DC68D0">
        <w:trPr>
          <w:trHeight w:val="255"/>
        </w:trPr>
        <w:tc>
          <w:tcPr>
            <w:tcW w:w="5620" w:type="dxa"/>
            <w:shd w:val="clear" w:color="auto" w:fill="auto"/>
            <w:noWrap/>
            <w:vAlign w:val="bottom"/>
            <w:hideMark/>
          </w:tcPr>
          <w:p w:rsidR="00DC68D0" w:rsidRPr="00DC68D0" w:rsidRDefault="00DC68D0" w:rsidP="00DC68D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C68D0">
              <w:rPr>
                <w:rFonts w:eastAsia="Times New Roman" w:cstheme="minorHAnsi"/>
                <w:lang w:eastAsia="fr-FR"/>
              </w:rPr>
              <w:t>Délai de désendettement (années)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C68D0" w:rsidRPr="00DC68D0" w:rsidRDefault="00DC68D0" w:rsidP="00DC68D0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DC68D0">
              <w:rPr>
                <w:rFonts w:eastAsia="Times New Roman" w:cstheme="minorHAnsi"/>
                <w:lang w:eastAsia="fr-FR"/>
              </w:rPr>
              <w:t xml:space="preserve">3,21 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C68D0" w:rsidRPr="00DC68D0" w:rsidRDefault="00A87F5C" w:rsidP="00DC68D0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2,73</w:t>
            </w:r>
          </w:p>
        </w:tc>
      </w:tr>
    </w:tbl>
    <w:p w:rsidR="00B077B0" w:rsidRDefault="00B077B0" w:rsidP="00B077B0">
      <w:pPr>
        <w:spacing w:after="0" w:line="240" w:lineRule="auto"/>
      </w:pPr>
      <w:bookmarkStart w:id="51" w:name="_Toc10034214"/>
      <w:bookmarkStart w:id="52" w:name="_Toc10034887"/>
    </w:p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E630B4" w:rsidRPr="007B3E6C" w:rsidRDefault="00E630B4" w:rsidP="00875C2B">
      <w:pPr>
        <w:pStyle w:val="Titre3"/>
      </w:pPr>
      <w:bookmarkStart w:id="53" w:name="_Toc74317349"/>
      <w:r w:rsidRPr="007B3E6C">
        <w:t>Ratios</w:t>
      </w:r>
      <w:bookmarkEnd w:id="51"/>
      <w:bookmarkEnd w:id="52"/>
      <w:bookmarkEnd w:id="53"/>
    </w:p>
    <w:tbl>
      <w:tblPr>
        <w:tblW w:w="1058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3"/>
        <w:gridCol w:w="1200"/>
        <w:gridCol w:w="2053"/>
      </w:tblGrid>
      <w:tr w:rsidR="00FC1D70" w:rsidRPr="00FC1D70" w:rsidTr="00A87F5C">
        <w:trPr>
          <w:trHeight w:val="300"/>
          <w:jc w:val="center"/>
        </w:trPr>
        <w:tc>
          <w:tcPr>
            <w:tcW w:w="7333" w:type="dxa"/>
            <w:shd w:val="clear" w:color="auto" w:fill="DBE5F1" w:themeFill="accent1" w:themeFillTint="33"/>
            <w:noWrap/>
            <w:vAlign w:val="center"/>
            <w:hideMark/>
          </w:tcPr>
          <w:p w:rsidR="00FC1D70" w:rsidRPr="00FC1D70" w:rsidRDefault="00FC1D70" w:rsidP="00FC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Informations financières - ratios</w:t>
            </w:r>
          </w:p>
        </w:tc>
        <w:tc>
          <w:tcPr>
            <w:tcW w:w="1200" w:type="dxa"/>
            <w:shd w:val="clear" w:color="auto" w:fill="DBE5F1" w:themeFill="accent1" w:themeFillTint="33"/>
            <w:noWrap/>
            <w:vAlign w:val="center"/>
            <w:hideMark/>
          </w:tcPr>
          <w:p w:rsidR="00FC1D70" w:rsidRPr="00FC1D70" w:rsidRDefault="00FC1D70" w:rsidP="00FC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CA 2020</w:t>
            </w:r>
          </w:p>
        </w:tc>
        <w:tc>
          <w:tcPr>
            <w:tcW w:w="2053" w:type="dxa"/>
            <w:shd w:val="clear" w:color="auto" w:fill="DBE5F1" w:themeFill="accent1" w:themeFillTint="33"/>
            <w:noWrap/>
            <w:vAlign w:val="center"/>
            <w:hideMark/>
          </w:tcPr>
          <w:p w:rsidR="00FC1D70" w:rsidRPr="00FC1D70" w:rsidRDefault="00FC1D70" w:rsidP="00FC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Moyenne nationale de la strate</w:t>
            </w:r>
          </w:p>
        </w:tc>
      </w:tr>
      <w:tr w:rsidR="00173CEC" w:rsidRPr="00FC1D70" w:rsidTr="00A87F5C">
        <w:trPr>
          <w:trHeight w:val="300"/>
          <w:jc w:val="center"/>
        </w:trPr>
        <w:tc>
          <w:tcPr>
            <w:tcW w:w="7333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 Dépenses réelles de fonctionnement / population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409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73CEC" w:rsidRDefault="00173CEC" w:rsidP="00173C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343 €</w:t>
            </w:r>
          </w:p>
        </w:tc>
      </w:tr>
      <w:tr w:rsidR="00173CEC" w:rsidRPr="00FC1D70" w:rsidTr="00A87F5C">
        <w:trPr>
          <w:trHeight w:val="300"/>
          <w:jc w:val="center"/>
        </w:trPr>
        <w:tc>
          <w:tcPr>
            <w:tcW w:w="7333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 Produit des impositions directes / population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229 €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73CEC" w:rsidRDefault="00173CEC" w:rsidP="00173C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306 €</w:t>
            </w:r>
          </w:p>
        </w:tc>
      </w:tr>
      <w:tr w:rsidR="00173CEC" w:rsidRPr="00FC1D70" w:rsidTr="00A87F5C">
        <w:trPr>
          <w:trHeight w:val="300"/>
          <w:jc w:val="center"/>
        </w:trPr>
        <w:tc>
          <w:tcPr>
            <w:tcW w:w="7333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 Recettes réelles de fonctionnement / population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495 €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73CEC" w:rsidRDefault="00173CEC" w:rsidP="00173C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407 €</w:t>
            </w:r>
          </w:p>
        </w:tc>
      </w:tr>
      <w:tr w:rsidR="00173CEC" w:rsidRPr="00FC1D70" w:rsidTr="00A87F5C">
        <w:trPr>
          <w:trHeight w:val="300"/>
          <w:jc w:val="center"/>
        </w:trPr>
        <w:tc>
          <w:tcPr>
            <w:tcW w:w="7333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 Dépenses d'équipement brut / population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134 €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73CEC" w:rsidRDefault="00173CEC" w:rsidP="00173C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82 €</w:t>
            </w:r>
          </w:p>
        </w:tc>
      </w:tr>
      <w:tr w:rsidR="00173CEC" w:rsidRPr="00FC1D70" w:rsidTr="00A87F5C">
        <w:trPr>
          <w:trHeight w:val="300"/>
          <w:jc w:val="center"/>
        </w:trPr>
        <w:tc>
          <w:tcPr>
            <w:tcW w:w="7333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 Encours de dette / population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234 €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73CEC" w:rsidRDefault="00173CEC" w:rsidP="00173C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232 €</w:t>
            </w:r>
          </w:p>
        </w:tc>
      </w:tr>
      <w:tr w:rsidR="00173CEC" w:rsidRPr="00FC1D70" w:rsidTr="00A87F5C">
        <w:trPr>
          <w:trHeight w:val="300"/>
          <w:jc w:val="center"/>
        </w:trPr>
        <w:tc>
          <w:tcPr>
            <w:tcW w:w="7333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 DGF / population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73 €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73CEC" w:rsidRDefault="00173CEC" w:rsidP="00173C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75 €</w:t>
            </w:r>
          </w:p>
        </w:tc>
      </w:tr>
      <w:tr w:rsidR="00173CEC" w:rsidRPr="00FC1D70" w:rsidTr="00A87F5C">
        <w:trPr>
          <w:trHeight w:val="300"/>
          <w:jc w:val="center"/>
        </w:trPr>
        <w:tc>
          <w:tcPr>
            <w:tcW w:w="73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 Dépenses de personnel / dépenses réelles de fonctionnement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46,2%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73CEC" w:rsidRDefault="00173CEC" w:rsidP="00173C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40,2%</w:t>
            </w:r>
          </w:p>
        </w:tc>
      </w:tr>
      <w:tr w:rsidR="00173CEC" w:rsidRPr="00FC1D70" w:rsidTr="00A87F5C">
        <w:trPr>
          <w:trHeight w:val="300"/>
          <w:jc w:val="center"/>
        </w:trPr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A87F5C" w:rsidRDefault="00173CEC" w:rsidP="00FC1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color w:val="000000"/>
                <w:lang w:eastAsia="fr-FR"/>
              </w:rPr>
              <w:t>(Dépenses réelles de fonctionnement et remboursement de la dette en capital)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EC" w:rsidRPr="00FC1D70" w:rsidRDefault="00173CEC" w:rsidP="00FC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86,8%</w:t>
            </w:r>
          </w:p>
        </w:tc>
        <w:tc>
          <w:tcPr>
            <w:tcW w:w="2053" w:type="dxa"/>
            <w:vMerge w:val="restart"/>
            <w:shd w:val="clear" w:color="auto" w:fill="auto"/>
            <w:noWrap/>
            <w:vAlign w:val="center"/>
            <w:hideMark/>
          </w:tcPr>
          <w:p w:rsidR="00173CEC" w:rsidRDefault="00173CEC" w:rsidP="00173C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89,6%</w:t>
            </w:r>
          </w:p>
        </w:tc>
      </w:tr>
      <w:tr w:rsidR="00173CEC" w:rsidRPr="00FC1D70" w:rsidTr="00A87F5C">
        <w:trPr>
          <w:trHeight w:val="300"/>
          <w:jc w:val="center"/>
        </w:trPr>
        <w:tc>
          <w:tcPr>
            <w:tcW w:w="7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/ recettes réelles de fonctionnement</w:t>
            </w: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73CEC" w:rsidRPr="00FC1D70" w:rsidRDefault="00173CEC" w:rsidP="00FC1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173CEC" w:rsidRPr="00FC1D70" w:rsidRDefault="00173CEC" w:rsidP="00173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73CEC" w:rsidRPr="00FC1D70" w:rsidTr="00A87F5C">
        <w:trPr>
          <w:trHeight w:val="300"/>
          <w:jc w:val="center"/>
        </w:trPr>
        <w:tc>
          <w:tcPr>
            <w:tcW w:w="7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 Dépenses d'équipement brut / recettes réelles de fonct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ionnement</w:t>
            </w: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27,2%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73CEC" w:rsidRDefault="00173CEC" w:rsidP="00173C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20,2%</w:t>
            </w:r>
          </w:p>
        </w:tc>
      </w:tr>
      <w:tr w:rsidR="00173CEC" w:rsidRPr="00FC1D70" w:rsidTr="00A87F5C">
        <w:trPr>
          <w:trHeight w:val="300"/>
          <w:jc w:val="center"/>
        </w:trPr>
        <w:tc>
          <w:tcPr>
            <w:tcW w:w="7333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 Encours de la dette / recettes réelles de fonctionnement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73CEC" w:rsidRPr="00FC1D70" w:rsidRDefault="00173CEC" w:rsidP="00FC1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1D70">
              <w:rPr>
                <w:rFonts w:ascii="Calibri" w:eastAsia="Times New Roman" w:hAnsi="Calibri" w:cs="Calibri"/>
                <w:color w:val="000000"/>
                <w:lang w:eastAsia="fr-FR"/>
              </w:rPr>
              <w:t>47,2%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73CEC" w:rsidRDefault="00173CEC" w:rsidP="00173C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89,4%</w:t>
            </w:r>
          </w:p>
        </w:tc>
      </w:tr>
    </w:tbl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E630B4" w:rsidRPr="007B3E6C" w:rsidRDefault="00E630B4" w:rsidP="00875C2B">
      <w:pPr>
        <w:pStyle w:val="Titre3"/>
      </w:pPr>
      <w:bookmarkStart w:id="54" w:name="_Toc74317350"/>
      <w:r>
        <w:t>Effectifs de la collectivité et charges de personnel</w:t>
      </w:r>
      <w:bookmarkEnd w:id="54"/>
    </w:p>
    <w:p w:rsidR="00E630B4" w:rsidRDefault="00DB4F7A" w:rsidP="0093096C">
      <w:pPr>
        <w:jc w:val="both"/>
      </w:pPr>
      <w:r>
        <w:t>Les effectifs de la Communauté d’Agglomération se répartissent de la manière suivante :</w:t>
      </w:r>
    </w:p>
    <w:tbl>
      <w:tblPr>
        <w:tblStyle w:val="Grilledutableau"/>
        <w:tblW w:w="6808" w:type="dxa"/>
        <w:jc w:val="center"/>
        <w:tblInd w:w="-560" w:type="dxa"/>
        <w:tblLook w:val="04A0" w:firstRow="1" w:lastRow="0" w:firstColumn="1" w:lastColumn="0" w:noHBand="0" w:noVBand="1"/>
      </w:tblPr>
      <w:tblGrid>
        <w:gridCol w:w="3994"/>
        <w:gridCol w:w="1407"/>
        <w:gridCol w:w="1407"/>
      </w:tblGrid>
      <w:tr w:rsidR="00BC4329" w:rsidRPr="00DB4F7A" w:rsidTr="00BC4329">
        <w:trPr>
          <w:jc w:val="center"/>
        </w:trPr>
        <w:tc>
          <w:tcPr>
            <w:tcW w:w="3994" w:type="dxa"/>
            <w:shd w:val="clear" w:color="auto" w:fill="DBE5F1" w:themeFill="accent1" w:themeFillTint="33"/>
            <w:vAlign w:val="center"/>
          </w:tcPr>
          <w:p w:rsidR="00BC4329" w:rsidRPr="00DB4F7A" w:rsidRDefault="00BC4329" w:rsidP="00BC43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F7A">
              <w:rPr>
                <w:rFonts w:cstheme="minorHAnsi"/>
                <w:b/>
              </w:rPr>
              <w:t>Tous budgets confondus</w:t>
            </w:r>
          </w:p>
        </w:tc>
        <w:tc>
          <w:tcPr>
            <w:tcW w:w="1407" w:type="dxa"/>
            <w:shd w:val="clear" w:color="auto" w:fill="DBE5F1" w:themeFill="accent1" w:themeFillTint="33"/>
            <w:vAlign w:val="center"/>
          </w:tcPr>
          <w:p w:rsidR="00BC4329" w:rsidRDefault="00BC4329" w:rsidP="00BC43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31/12/2019</w:t>
            </w:r>
          </w:p>
        </w:tc>
        <w:tc>
          <w:tcPr>
            <w:tcW w:w="1407" w:type="dxa"/>
            <w:shd w:val="clear" w:color="auto" w:fill="DBE5F1" w:themeFill="accent1" w:themeFillTint="33"/>
            <w:vAlign w:val="center"/>
          </w:tcPr>
          <w:p w:rsidR="00BC4329" w:rsidRDefault="00BC4329" w:rsidP="00BC43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31/12/2020</w:t>
            </w:r>
          </w:p>
        </w:tc>
      </w:tr>
      <w:tr w:rsidR="00BC4329" w:rsidRPr="00DB4F7A" w:rsidTr="00BC4329">
        <w:trPr>
          <w:jc w:val="center"/>
        </w:trPr>
        <w:tc>
          <w:tcPr>
            <w:tcW w:w="3994" w:type="dxa"/>
            <w:vAlign w:val="center"/>
          </w:tcPr>
          <w:p w:rsidR="00BC4329" w:rsidRPr="00DB4F7A" w:rsidRDefault="00BC4329" w:rsidP="00BC43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4F7A">
              <w:rPr>
                <w:rFonts w:cstheme="minorHAnsi"/>
              </w:rPr>
              <w:t xml:space="preserve">Agents titulaires </w:t>
            </w:r>
          </w:p>
        </w:tc>
        <w:tc>
          <w:tcPr>
            <w:tcW w:w="1407" w:type="dxa"/>
            <w:vAlign w:val="center"/>
          </w:tcPr>
          <w:p w:rsidR="00BC4329" w:rsidRDefault="00BC4329" w:rsidP="00BC4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407" w:type="dxa"/>
            <w:vAlign w:val="center"/>
          </w:tcPr>
          <w:p w:rsidR="00BC4329" w:rsidRDefault="00BC4329" w:rsidP="00BC4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</w:tr>
      <w:tr w:rsidR="00BC4329" w:rsidRPr="00DB4F7A" w:rsidTr="00BC4329">
        <w:trPr>
          <w:jc w:val="center"/>
        </w:trPr>
        <w:tc>
          <w:tcPr>
            <w:tcW w:w="3994" w:type="dxa"/>
            <w:vAlign w:val="center"/>
          </w:tcPr>
          <w:p w:rsidR="00BC4329" w:rsidRPr="00DB4F7A" w:rsidRDefault="00BC4329" w:rsidP="00BC43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4F7A">
              <w:rPr>
                <w:rFonts w:cstheme="minorHAnsi"/>
              </w:rPr>
              <w:t xml:space="preserve">Agents contractuels </w:t>
            </w:r>
          </w:p>
        </w:tc>
        <w:tc>
          <w:tcPr>
            <w:tcW w:w="1407" w:type="dxa"/>
            <w:vAlign w:val="center"/>
          </w:tcPr>
          <w:p w:rsidR="00BC4329" w:rsidRDefault="00BC4329" w:rsidP="00BC4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07" w:type="dxa"/>
            <w:vAlign w:val="center"/>
          </w:tcPr>
          <w:p w:rsidR="00BC4329" w:rsidRDefault="00BC4329" w:rsidP="00BC4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4329" w:rsidRPr="00DB4F7A" w:rsidTr="00BC4329">
        <w:trPr>
          <w:jc w:val="center"/>
        </w:trPr>
        <w:tc>
          <w:tcPr>
            <w:tcW w:w="3994" w:type="dxa"/>
            <w:vAlign w:val="center"/>
          </w:tcPr>
          <w:p w:rsidR="00BC4329" w:rsidRPr="00DB4F7A" w:rsidRDefault="00BC4329" w:rsidP="00BC43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4F7A">
              <w:rPr>
                <w:rFonts w:cstheme="minorHAnsi"/>
              </w:rPr>
              <w:t>Emplois aidés</w:t>
            </w:r>
          </w:p>
        </w:tc>
        <w:tc>
          <w:tcPr>
            <w:tcW w:w="1407" w:type="dxa"/>
            <w:vAlign w:val="center"/>
          </w:tcPr>
          <w:p w:rsidR="00BC4329" w:rsidRDefault="00BC4329" w:rsidP="00BC4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07" w:type="dxa"/>
            <w:vAlign w:val="center"/>
          </w:tcPr>
          <w:p w:rsidR="00BC4329" w:rsidRDefault="00BC4329" w:rsidP="00BC4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C4329" w:rsidRPr="00DB4F7A" w:rsidTr="00BC4329">
        <w:trPr>
          <w:jc w:val="center"/>
        </w:trPr>
        <w:tc>
          <w:tcPr>
            <w:tcW w:w="3994" w:type="dxa"/>
            <w:vAlign w:val="center"/>
          </w:tcPr>
          <w:p w:rsidR="00BC4329" w:rsidRPr="00DB4F7A" w:rsidRDefault="00BC4329" w:rsidP="00BC43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4F7A">
              <w:rPr>
                <w:rFonts w:cstheme="minorHAnsi"/>
              </w:rPr>
              <w:t>Emplois saisonniers et remplaçants</w:t>
            </w:r>
          </w:p>
        </w:tc>
        <w:tc>
          <w:tcPr>
            <w:tcW w:w="1407" w:type="dxa"/>
            <w:vAlign w:val="center"/>
          </w:tcPr>
          <w:p w:rsidR="00BC4329" w:rsidRDefault="00BC4329" w:rsidP="00BC4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07" w:type="dxa"/>
            <w:vAlign w:val="center"/>
          </w:tcPr>
          <w:p w:rsidR="00BC4329" w:rsidRDefault="00BC4329" w:rsidP="00BC4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BC4329" w:rsidRPr="00DB4F7A" w:rsidTr="00BC4329">
        <w:trPr>
          <w:jc w:val="center"/>
        </w:trPr>
        <w:tc>
          <w:tcPr>
            <w:tcW w:w="3994" w:type="dxa"/>
            <w:vAlign w:val="center"/>
          </w:tcPr>
          <w:p w:rsidR="00BC4329" w:rsidRPr="00DB4F7A" w:rsidRDefault="00BC4329" w:rsidP="00BC43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4F7A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407" w:type="dxa"/>
            <w:vAlign w:val="center"/>
          </w:tcPr>
          <w:p w:rsidR="00BC4329" w:rsidRDefault="00BC4329" w:rsidP="00BC432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298</w:t>
            </w:r>
          </w:p>
        </w:tc>
        <w:tc>
          <w:tcPr>
            <w:tcW w:w="1407" w:type="dxa"/>
            <w:vAlign w:val="center"/>
          </w:tcPr>
          <w:p w:rsidR="00BC4329" w:rsidRDefault="00BC4329" w:rsidP="00BC432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330</w:t>
            </w:r>
          </w:p>
        </w:tc>
      </w:tr>
    </w:tbl>
    <w:p w:rsidR="00BC4329" w:rsidRDefault="00BC4329" w:rsidP="00BC4329">
      <w:pPr>
        <w:spacing w:after="0" w:line="240" w:lineRule="auto"/>
        <w:jc w:val="both"/>
      </w:pPr>
    </w:p>
    <w:p w:rsidR="00BC4329" w:rsidRDefault="00BC4329" w:rsidP="0093096C">
      <w:pPr>
        <w:jc w:val="both"/>
      </w:pPr>
      <w:r>
        <w:t>L’a</w:t>
      </w:r>
      <w:r w:rsidRPr="00BC4329">
        <w:t xml:space="preserve">ugmentation du nombre de titulaires </w:t>
      </w:r>
      <w:r w:rsidR="003E6CC0">
        <w:t xml:space="preserve">est </w:t>
      </w:r>
      <w:r w:rsidRPr="00BC4329">
        <w:t>due à la mu</w:t>
      </w:r>
      <w:r>
        <w:t>tu</w:t>
      </w:r>
      <w:r w:rsidRPr="00BC4329">
        <w:t>alisation des archives et cert</w:t>
      </w:r>
      <w:r>
        <w:t xml:space="preserve">ains services techniques, soit </w:t>
      </w:r>
      <w:r w:rsidRPr="00BC4329">
        <w:t>24 agents titulaires au 1er janvier 2020</w:t>
      </w:r>
      <w:r>
        <w:t>.</w:t>
      </w:r>
    </w:p>
    <w:p w:rsidR="00BC4329" w:rsidRDefault="00BC4329" w:rsidP="00BC4329">
      <w:pPr>
        <w:jc w:val="both"/>
      </w:pPr>
      <w:r>
        <w:t>Au cours de l’année 2020, les mouvements habituels de départs en retraite et mutations (arrivées ou départs) ont impacté les effectifs.</w:t>
      </w:r>
    </w:p>
    <w:p w:rsidR="009B7DF9" w:rsidRDefault="009B7DF9">
      <w:pPr>
        <w:spacing w:after="200" w:line="276" w:lineRule="auto"/>
        <w:rPr>
          <w:rFonts w:eastAsiaTheme="majorEastAsia" w:cstheme="majorBidi"/>
          <w:b/>
          <w:bCs/>
          <w:color w:val="4F81BD" w:themeColor="accent1"/>
          <w:sz w:val="28"/>
          <w:szCs w:val="26"/>
        </w:rPr>
      </w:pPr>
      <w:r>
        <w:br w:type="page"/>
      </w:r>
    </w:p>
    <w:p w:rsidR="0080541E" w:rsidRDefault="0080541E" w:rsidP="0080541E">
      <w:pPr>
        <w:pStyle w:val="Titre2"/>
      </w:pPr>
      <w:bookmarkStart w:id="55" w:name="_Toc74317351"/>
      <w:r>
        <w:lastRenderedPageBreak/>
        <w:t>La dette</w:t>
      </w:r>
      <w:bookmarkEnd w:id="55"/>
    </w:p>
    <w:p w:rsidR="00532D9D" w:rsidRPr="009B7DF9" w:rsidRDefault="00532D9D" w:rsidP="0093096C">
      <w:pPr>
        <w:jc w:val="both"/>
      </w:pPr>
      <w:r w:rsidRPr="009B7DF9">
        <w:t>Au 31 décembre 20</w:t>
      </w:r>
      <w:r w:rsidR="00AE0CDE" w:rsidRPr="009B7DF9">
        <w:t>20</w:t>
      </w:r>
      <w:r w:rsidRPr="009B7DF9">
        <w:t>, l’encours de la dette (Capital Restant Dû) de la Communauté d’Agglomération Rochefort Océan (CARO) s’établit à 41,</w:t>
      </w:r>
      <w:r w:rsidR="00AE0CDE" w:rsidRPr="009B7DF9">
        <w:t>970</w:t>
      </w:r>
      <w:r w:rsidRPr="009B7DF9">
        <w:t xml:space="preserve"> M€ répartis sur 8 budgets.</w:t>
      </w:r>
      <w:r w:rsidR="00AE0CDE" w:rsidRPr="009B7DF9">
        <w:t xml:space="preserve"> </w:t>
      </w:r>
    </w:p>
    <w:p w:rsidR="00532D9D" w:rsidRDefault="009B7DF9" w:rsidP="00532D9D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177D9A3D" wp14:editId="4892C6A3">
            <wp:extent cx="5779698" cy="4753155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B30C2" w:rsidRDefault="000B30C2" w:rsidP="00532D9D">
      <w:pPr>
        <w:spacing w:after="0" w:line="240" w:lineRule="auto"/>
        <w:jc w:val="both"/>
        <w:rPr>
          <w:color w:val="FF0000"/>
        </w:rPr>
      </w:pPr>
    </w:p>
    <w:p w:rsidR="00581EDF" w:rsidRDefault="00581EDF" w:rsidP="001C720E">
      <w:pPr>
        <w:jc w:val="both"/>
      </w:pPr>
    </w:p>
    <w:p w:rsidR="00581EDF" w:rsidRDefault="00581EDF" w:rsidP="001C720E">
      <w:pPr>
        <w:jc w:val="both"/>
      </w:pPr>
    </w:p>
    <w:p w:rsidR="002638E9" w:rsidRDefault="00532D9D" w:rsidP="001C720E">
      <w:pPr>
        <w:jc w:val="both"/>
        <w:rPr>
          <w:noProof/>
          <w:lang w:eastAsia="fr-FR"/>
        </w:rPr>
      </w:pPr>
      <w:r w:rsidRPr="000B30C2">
        <w:t>La dette de la CARO est composée de 92 lignes d’emprunt comptabilisées auprès de 9 établissements bancaires.</w:t>
      </w:r>
    </w:p>
    <w:p w:rsidR="00532D9D" w:rsidRPr="000B30C2" w:rsidRDefault="00532D9D" w:rsidP="0093096C">
      <w:pPr>
        <w:jc w:val="both"/>
      </w:pPr>
      <w:r w:rsidRPr="000B30C2">
        <w:t>Cette dette est composée</w:t>
      </w:r>
      <w:r w:rsidR="00534303" w:rsidRPr="000B30C2">
        <w:t xml:space="preserve"> </w:t>
      </w:r>
      <w:r w:rsidR="00581EDF">
        <w:t xml:space="preserve">de 76,81 % d’emprunts en taux fixe, de </w:t>
      </w:r>
      <w:r w:rsidR="00581EDF" w:rsidRPr="000B30C2">
        <w:t xml:space="preserve">16,31 % </w:t>
      </w:r>
      <w:r w:rsidR="00534303" w:rsidRPr="000B30C2">
        <w:t xml:space="preserve">à taux variables </w:t>
      </w:r>
      <w:r w:rsidRPr="000B30C2">
        <w:t>et de prêts indexés s</w:t>
      </w:r>
      <w:r w:rsidR="00534303" w:rsidRPr="000B30C2">
        <w:t>ur le livret A à hauteur de 6,88</w:t>
      </w:r>
      <w:r w:rsidRPr="000B30C2">
        <w:t xml:space="preserve"> %.</w:t>
      </w:r>
    </w:p>
    <w:p w:rsidR="0080541E" w:rsidRPr="000B30C2" w:rsidRDefault="00532D9D" w:rsidP="0093096C">
      <w:pPr>
        <w:jc w:val="both"/>
      </w:pPr>
      <w:r w:rsidRPr="000B30C2">
        <w:t>Le taux moyen pour l’ensemb</w:t>
      </w:r>
      <w:r w:rsidR="00534303" w:rsidRPr="000B30C2">
        <w:t>le de cette dette s’élève à 2,</w:t>
      </w:r>
      <w:r w:rsidR="00127567" w:rsidRPr="000B30C2">
        <w:t>36</w:t>
      </w:r>
      <w:r w:rsidRPr="000B30C2">
        <w:t xml:space="preserve"> %</w:t>
      </w:r>
      <w:r w:rsidR="00127567" w:rsidRPr="000B30C2">
        <w:t xml:space="preserve"> contre 2,61 % en 2019.</w:t>
      </w:r>
    </w:p>
    <w:p w:rsidR="00360763" w:rsidRPr="000B30C2" w:rsidRDefault="00360763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B30C2">
        <w:br w:type="page"/>
      </w:r>
    </w:p>
    <w:p w:rsidR="0080541E" w:rsidRDefault="0080541E" w:rsidP="0080541E">
      <w:pPr>
        <w:pStyle w:val="Titre1"/>
      </w:pPr>
      <w:bookmarkStart w:id="56" w:name="_Toc74317352"/>
      <w:r>
        <w:lastRenderedPageBreak/>
        <w:t>Les budgets annexes administratifs</w:t>
      </w:r>
      <w:bookmarkEnd w:id="56"/>
    </w:p>
    <w:p w:rsidR="0015328E" w:rsidRPr="0015328E" w:rsidRDefault="0080541E" w:rsidP="0059648A">
      <w:pPr>
        <w:pStyle w:val="Titre2"/>
        <w:spacing w:before="0" w:after="120"/>
      </w:pPr>
      <w:bookmarkStart w:id="57" w:name="_Toc74317353"/>
      <w:r>
        <w:t>Activités économiques</w:t>
      </w:r>
      <w:bookmarkEnd w:id="57"/>
    </w:p>
    <w:p w:rsidR="00205732" w:rsidRPr="00205732" w:rsidRDefault="00F20F4F" w:rsidP="0093096C">
      <w:pPr>
        <w:jc w:val="both"/>
      </w:pPr>
      <w:r w:rsidRPr="00205732">
        <w:t>Ce budget annexe retrace la gestion des zones d’activités économique</w:t>
      </w:r>
      <w:r w:rsidR="00205732" w:rsidRPr="00205732">
        <w:t>s sur le territoire de la CARO.</w:t>
      </w:r>
    </w:p>
    <w:p w:rsidR="00F20F4F" w:rsidRPr="00205732" w:rsidRDefault="00F20F4F" w:rsidP="0093096C">
      <w:pPr>
        <w:jc w:val="both"/>
      </w:pPr>
      <w:r w:rsidRPr="00205732">
        <w:t>Les opérations réalisées en 20</w:t>
      </w:r>
      <w:r w:rsidR="00205732" w:rsidRPr="00205732">
        <w:t>20</w:t>
      </w:r>
      <w:r w:rsidRPr="00205732">
        <w:t xml:space="preserve"> sont présentées ci-dessous :</w:t>
      </w:r>
    </w:p>
    <w:tbl>
      <w:tblPr>
        <w:tblW w:w="111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377"/>
        <w:gridCol w:w="1240"/>
        <w:gridCol w:w="1340"/>
        <w:gridCol w:w="1340"/>
        <w:gridCol w:w="1359"/>
        <w:gridCol w:w="1020"/>
      </w:tblGrid>
      <w:tr w:rsidR="0012253A" w:rsidRPr="00A87F5C" w:rsidTr="005E4646">
        <w:trPr>
          <w:trHeight w:val="255"/>
          <w:jc w:val="center"/>
        </w:trPr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74811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Investissement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BUDGETE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EVOLUTION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2020-2019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001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5E4646" w:rsidP="005E464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Résultat</w:t>
            </w:r>
            <w:r w:rsidR="0012253A" w:rsidRPr="00A87F5C">
              <w:rPr>
                <w:rFonts w:eastAsia="Times New Roman" w:cstheme="minorHAnsi"/>
                <w:lang w:eastAsia="fr-FR"/>
              </w:rPr>
              <w:t xml:space="preserve"> report</w:t>
            </w:r>
            <w:r w:rsidRPr="00A87F5C">
              <w:rPr>
                <w:rFonts w:eastAsia="Times New Roman" w:cstheme="minorHAnsi"/>
                <w:lang w:eastAsia="fr-FR"/>
              </w:rPr>
              <w:t>é</w:t>
            </w:r>
            <w:r w:rsidR="0012253A" w:rsidRPr="00A87F5C">
              <w:rPr>
                <w:rFonts w:eastAsia="Times New Roman" w:cstheme="minorHAnsi"/>
                <w:lang w:eastAsia="fr-FR"/>
              </w:rPr>
              <w:t xml:space="preserve"> d'investissement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667 684 €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667 684 €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667 684 €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040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5E464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Op</w:t>
            </w:r>
            <w:r w:rsidR="005E4646" w:rsidRPr="00A87F5C">
              <w:rPr>
                <w:rFonts w:eastAsia="Times New Roman" w:cstheme="minorHAnsi"/>
                <w:lang w:eastAsia="fr-FR"/>
              </w:rPr>
              <w:t>é</w:t>
            </w:r>
            <w:r w:rsidRPr="00A87F5C">
              <w:rPr>
                <w:rFonts w:eastAsia="Times New Roman" w:cstheme="minorHAnsi"/>
                <w:lang w:eastAsia="fr-FR"/>
              </w:rPr>
              <w:t>rations d'ordre de transfert entre sections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394 307 €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504 700 €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502 274 €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107 967 €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27,4%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041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5E464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Op</w:t>
            </w:r>
            <w:r w:rsidR="005E4646" w:rsidRPr="00A87F5C">
              <w:rPr>
                <w:rFonts w:eastAsia="Times New Roman" w:cstheme="minorHAnsi"/>
                <w:lang w:eastAsia="fr-FR"/>
              </w:rPr>
              <w:t>é</w:t>
            </w:r>
            <w:r w:rsidRPr="00A87F5C">
              <w:rPr>
                <w:rFonts w:eastAsia="Times New Roman" w:cstheme="minorHAnsi"/>
                <w:lang w:eastAsia="fr-FR"/>
              </w:rPr>
              <w:t>rations patrimoniales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74 590 €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1 980 000 €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916 741 €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842 151 €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1129,0%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16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5E464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Emprunts et dettes assimil</w:t>
            </w:r>
            <w:r w:rsidR="005E4646" w:rsidRPr="00A87F5C">
              <w:rPr>
                <w:rFonts w:eastAsia="Times New Roman" w:cstheme="minorHAnsi"/>
                <w:lang w:eastAsia="fr-FR"/>
              </w:rPr>
              <w:t>é</w:t>
            </w:r>
            <w:r w:rsidRPr="00A87F5C">
              <w:rPr>
                <w:rFonts w:eastAsia="Times New Roman" w:cstheme="minorHAnsi"/>
                <w:lang w:eastAsia="fr-FR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1 922 239 €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1 850 315 €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1 590 230 €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-332 009 €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-17,3%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Immobilisations incorporelles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740 311 €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2 409 021 €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856 315 €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116 004 €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15,7%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204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Subventions d'</w:t>
            </w:r>
            <w:r w:rsidR="005E4646" w:rsidRPr="00A87F5C">
              <w:rPr>
                <w:rFonts w:eastAsia="Times New Roman" w:cstheme="minorHAnsi"/>
                <w:lang w:eastAsia="fr-FR"/>
              </w:rPr>
              <w:t>équipement</w:t>
            </w:r>
            <w:r w:rsidRPr="00A87F5C">
              <w:rPr>
                <w:rFonts w:eastAsia="Times New Roman" w:cstheme="minorHAnsi"/>
                <w:lang w:eastAsia="fr-FR"/>
              </w:rPr>
              <w:t xml:space="preserve"> </w:t>
            </w:r>
            <w:r w:rsidR="005E4646" w:rsidRPr="00A87F5C">
              <w:rPr>
                <w:rFonts w:eastAsia="Times New Roman" w:cstheme="minorHAnsi"/>
                <w:lang w:eastAsia="fr-FR"/>
              </w:rPr>
              <w:t>versées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22 000 €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10 000 €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10 000 €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Immobilisations corporelles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3 685 764 €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9 563 265 €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5 583 959 €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1 898 195 €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51,5%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23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Immobilisations en cours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1 090 324 €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513 802 €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228 706 €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-861 618 €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-79,0%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26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5E4646" w:rsidP="005E464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Participations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399 999 €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-399 999 €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-100,0%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27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 xml:space="preserve">Autres immobilisations </w:t>
            </w:r>
            <w:r w:rsidR="005E4646" w:rsidRPr="00A87F5C">
              <w:rPr>
                <w:rFonts w:eastAsia="Times New Roman" w:cstheme="minorHAnsi"/>
                <w:lang w:eastAsia="fr-FR"/>
              </w:rPr>
              <w:t>financières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50 000 €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2 770 966 €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420 576 €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370 576 €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741,2%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Total Dépenses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8 357 534 €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20 281 753 €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10 776 485 €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2 418 951 €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28,9%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001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5E4646" w:rsidP="005E464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Résultat</w:t>
            </w:r>
            <w:r w:rsidR="0012253A" w:rsidRPr="00A87F5C">
              <w:rPr>
                <w:rFonts w:eastAsia="Times New Roman" w:cstheme="minorHAnsi"/>
                <w:lang w:eastAsia="fr-FR"/>
              </w:rPr>
              <w:t xml:space="preserve"> report</w:t>
            </w:r>
            <w:r w:rsidRPr="00A87F5C">
              <w:rPr>
                <w:rFonts w:eastAsia="Times New Roman" w:cstheme="minorHAnsi"/>
                <w:lang w:eastAsia="fr-FR"/>
              </w:rPr>
              <w:t>é</w:t>
            </w:r>
            <w:r w:rsidR="0012253A" w:rsidRPr="00A87F5C">
              <w:rPr>
                <w:rFonts w:eastAsia="Times New Roman" w:cstheme="minorHAnsi"/>
                <w:lang w:eastAsia="fr-FR"/>
              </w:rPr>
              <w:t xml:space="preserve"> d'investissement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1 819 950 €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-1 819 950 €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-100,0%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021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Virement de la section de fonctionnement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3 187 078 €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024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Produits des cessions d'immobilisations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28 891 €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040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5E464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Op</w:t>
            </w:r>
            <w:r w:rsidR="005E4646" w:rsidRPr="00A87F5C">
              <w:rPr>
                <w:rFonts w:eastAsia="Times New Roman" w:cstheme="minorHAnsi"/>
                <w:lang w:eastAsia="fr-FR"/>
              </w:rPr>
              <w:t>é</w:t>
            </w:r>
            <w:r w:rsidRPr="00A87F5C">
              <w:rPr>
                <w:rFonts w:eastAsia="Times New Roman" w:cstheme="minorHAnsi"/>
                <w:lang w:eastAsia="fr-FR"/>
              </w:rPr>
              <w:t>rations d'ordre de transfert entre sections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1 892 443 €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2 645 349 €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2 645 342 €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752 899 €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39,8%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041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5E464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Op</w:t>
            </w:r>
            <w:r w:rsidR="005E4646" w:rsidRPr="00A87F5C">
              <w:rPr>
                <w:rFonts w:eastAsia="Times New Roman" w:cstheme="minorHAnsi"/>
                <w:lang w:eastAsia="fr-FR"/>
              </w:rPr>
              <w:t>é</w:t>
            </w:r>
            <w:r w:rsidRPr="00A87F5C">
              <w:rPr>
                <w:rFonts w:eastAsia="Times New Roman" w:cstheme="minorHAnsi"/>
                <w:lang w:eastAsia="fr-FR"/>
              </w:rPr>
              <w:t>rations patrimoniales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74 590 €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1 980 000 €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916 741 €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842 151 €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1129,0%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5E4646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Dotations, fonds</w:t>
            </w:r>
            <w:r w:rsidR="0012253A" w:rsidRPr="00A87F5C">
              <w:rPr>
                <w:rFonts w:eastAsia="Times New Roman" w:cstheme="minorHAnsi"/>
                <w:lang w:eastAsia="fr-FR"/>
              </w:rPr>
              <w:t xml:space="preserve"> divers et </w:t>
            </w:r>
            <w:r w:rsidRPr="00A87F5C">
              <w:rPr>
                <w:rFonts w:eastAsia="Times New Roman" w:cstheme="minorHAnsi"/>
                <w:lang w:eastAsia="fr-FR"/>
              </w:rPr>
              <w:t>réserves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415 504 €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1 439 993 €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1 439 993 €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1 024 490 €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246,6%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13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 xml:space="preserve">Subventions d'investissement </w:t>
            </w:r>
            <w:r w:rsidR="005E4646" w:rsidRPr="00A87F5C">
              <w:rPr>
                <w:rFonts w:eastAsia="Times New Roman" w:cstheme="minorHAnsi"/>
                <w:lang w:eastAsia="fr-FR"/>
              </w:rPr>
              <w:t>reçues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995 861 €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4 857 155 €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2 695 529 €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1 699 668 €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170,7%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16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Emprunts et dettes assimiles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2 487 905 €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3 328 767 €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2 410 511 €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-77 395 €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-3,1%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Immobilisations corporelles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7 945 €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27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 xml:space="preserve">Autres immobilisations </w:t>
            </w:r>
            <w:r w:rsidR="005E4646" w:rsidRPr="00A87F5C">
              <w:rPr>
                <w:rFonts w:eastAsia="Times New Roman" w:cstheme="minorHAnsi"/>
                <w:lang w:eastAsia="fr-FR"/>
              </w:rPr>
              <w:t>financières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3 598 €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2 806 576 €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112 270 €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108 672 €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3020,7%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Total Recettes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7 689 850 €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20 281 753 €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10 220 386 €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2 530 536 €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32,9%</w:t>
            </w:r>
          </w:p>
        </w:tc>
      </w:tr>
    </w:tbl>
    <w:p w:rsidR="00A87F5C" w:rsidRDefault="00A87F5C" w:rsidP="00F20F4F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br w:type="page"/>
      </w:r>
    </w:p>
    <w:tbl>
      <w:tblPr>
        <w:tblW w:w="111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377"/>
        <w:gridCol w:w="1240"/>
        <w:gridCol w:w="1340"/>
        <w:gridCol w:w="1340"/>
        <w:gridCol w:w="1359"/>
        <w:gridCol w:w="1020"/>
      </w:tblGrid>
      <w:tr w:rsidR="0012253A" w:rsidRPr="00A87F5C" w:rsidTr="005E4646">
        <w:trPr>
          <w:trHeight w:val="255"/>
          <w:jc w:val="center"/>
        </w:trPr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74811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lastRenderedPageBreak/>
              <w:t>Fonctionnement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BUDGETE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EVOLUTION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2253A" w:rsidRPr="00A87F5C" w:rsidRDefault="0012253A" w:rsidP="0012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2020-2019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011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5E464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 xml:space="preserve">Charges </w:t>
            </w:r>
            <w:r w:rsidR="005E4646" w:rsidRPr="00A87F5C">
              <w:rPr>
                <w:rFonts w:eastAsia="Times New Roman" w:cstheme="minorHAnsi"/>
                <w:lang w:eastAsia="fr-FR"/>
              </w:rPr>
              <w:t>à</w:t>
            </w:r>
            <w:r w:rsidRPr="00A87F5C">
              <w:rPr>
                <w:rFonts w:eastAsia="Times New Roman" w:cstheme="minorHAnsi"/>
                <w:lang w:eastAsia="fr-FR"/>
              </w:rPr>
              <w:t xml:space="preserve"> </w:t>
            </w:r>
            <w:r w:rsidR="005E4646" w:rsidRPr="00A87F5C">
              <w:rPr>
                <w:rFonts w:eastAsia="Times New Roman" w:cstheme="minorHAnsi"/>
                <w:lang w:eastAsia="fr-FR"/>
              </w:rPr>
              <w:t>caractère</w:t>
            </w:r>
            <w:r w:rsidRPr="00A87F5C">
              <w:rPr>
                <w:rFonts w:eastAsia="Times New Roman" w:cstheme="minorHAnsi"/>
                <w:lang w:eastAsia="fr-FR"/>
              </w:rPr>
              <w:t xml:space="preserve"> </w:t>
            </w:r>
            <w:r w:rsidR="005E4646" w:rsidRPr="00A87F5C">
              <w:rPr>
                <w:rFonts w:eastAsia="Times New Roman" w:cstheme="minorHAnsi"/>
                <w:lang w:eastAsia="fr-FR"/>
              </w:rPr>
              <w:t>général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1 195 832 €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1 246 728 €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826 993 €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-368 839 €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-30,8%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012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5E464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Charges de personnel et frais assimil</w:t>
            </w:r>
            <w:r w:rsidR="005E4646" w:rsidRPr="00A87F5C">
              <w:rPr>
                <w:rFonts w:eastAsia="Times New Roman" w:cstheme="minorHAnsi"/>
                <w:lang w:eastAsia="fr-FR"/>
              </w:rPr>
              <w:t>é</w:t>
            </w:r>
            <w:r w:rsidRPr="00A87F5C">
              <w:rPr>
                <w:rFonts w:eastAsia="Times New Roman" w:cstheme="minorHAnsi"/>
                <w:lang w:eastAsia="fr-FR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79 734 €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140 307 €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138 598 €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58 864 €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73,8%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023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 xml:space="preserve">Virement </w:t>
            </w:r>
            <w:r w:rsidR="005E4646" w:rsidRPr="00A87F5C">
              <w:rPr>
                <w:rFonts w:eastAsia="Times New Roman" w:cstheme="minorHAnsi"/>
                <w:lang w:eastAsia="fr-FR"/>
              </w:rPr>
              <w:t>à</w:t>
            </w:r>
            <w:r w:rsidRPr="00A87F5C">
              <w:rPr>
                <w:rFonts w:eastAsia="Times New Roman" w:cstheme="minorHAnsi"/>
                <w:lang w:eastAsia="fr-FR"/>
              </w:rPr>
              <w:t xml:space="preserve"> la section d'investissement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3 187 078 €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042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5E464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Op</w:t>
            </w:r>
            <w:r w:rsidR="005E4646" w:rsidRPr="00A87F5C">
              <w:rPr>
                <w:rFonts w:eastAsia="Times New Roman" w:cstheme="minorHAnsi"/>
                <w:lang w:eastAsia="fr-FR"/>
              </w:rPr>
              <w:t>é</w:t>
            </w:r>
            <w:r w:rsidRPr="00A87F5C">
              <w:rPr>
                <w:rFonts w:eastAsia="Times New Roman" w:cstheme="minorHAnsi"/>
                <w:lang w:eastAsia="fr-FR"/>
              </w:rPr>
              <w:t>rations d'ordre de transfert entre sections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1 892 443 €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2 645 349 €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2 645 342 €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752 899 €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39,8%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65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Autres charges de gestion courante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35 623 €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81 209 €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74 266 €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38 643 €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108,5%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66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 xml:space="preserve">Charges </w:t>
            </w:r>
            <w:r w:rsidR="005E4646" w:rsidRPr="00A87F5C">
              <w:rPr>
                <w:rFonts w:eastAsia="Times New Roman" w:cstheme="minorHAnsi"/>
                <w:lang w:eastAsia="fr-FR"/>
              </w:rPr>
              <w:t>financières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605 193 €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502 659 €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484 378 €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-120 815 €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-20,0%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67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Charges exceptionnelles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3 105 €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117 760 €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113 325 €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110 220 €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3549,4%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Total Dépenses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3 811 930 €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7 921 089 €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4 282 901 €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470 971 €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12,4%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002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5E4646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Résultat</w:t>
            </w:r>
            <w:r w:rsidR="0012253A" w:rsidRPr="00A87F5C">
              <w:rPr>
                <w:rFonts w:eastAsia="Times New Roman" w:cstheme="minorHAnsi"/>
                <w:lang w:eastAsia="fr-FR"/>
              </w:rPr>
              <w:t xml:space="preserve"> reporte de fonctionnement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126 872 €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143 887 €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143 887 €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17 015 €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13,4%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013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5E4646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Atténuations</w:t>
            </w:r>
            <w:r w:rsidR="0012253A" w:rsidRPr="00A87F5C">
              <w:rPr>
                <w:rFonts w:eastAsia="Times New Roman" w:cstheme="minorHAnsi"/>
                <w:lang w:eastAsia="fr-FR"/>
              </w:rPr>
              <w:t xml:space="preserve"> de charges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299 €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717 €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1 592 €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1 293 €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432,8%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042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Operations d'ordre de transfert entre sections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394 307 €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504 700 €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502 274 €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107 967 €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27,4%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5E4646" w:rsidP="005E464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Produits des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120 000 €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20 516 €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20 516 €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73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5E4646" w:rsidP="0012253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Impôts</w:t>
            </w:r>
            <w:r w:rsidR="0012253A" w:rsidRPr="00A87F5C">
              <w:rPr>
                <w:rFonts w:eastAsia="Times New Roman" w:cstheme="minorHAnsi"/>
                <w:lang w:eastAsia="fr-FR"/>
              </w:rPr>
              <w:t xml:space="preserve"> et taxes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2 370 €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2 370 €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12253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74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Dotations, subventions et participations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117 108 €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19 420 €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29 724 €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-87 384 €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-74,6%</w:t>
            </w:r>
          </w:p>
        </w:tc>
      </w:tr>
      <w:tr w:rsidR="00FF4D88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FF4D8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75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FF4D8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Autres produits de gestion courante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FF4D88">
            <w:pPr>
              <w:spacing w:after="0" w:line="240" w:lineRule="auto"/>
              <w:jc w:val="right"/>
              <w:rPr>
                <w:rFonts w:cstheme="minorHAnsi"/>
              </w:rPr>
            </w:pPr>
            <w:r w:rsidRPr="00A87F5C">
              <w:rPr>
                <w:rFonts w:cstheme="minorHAnsi"/>
              </w:rPr>
              <w:t>4 316 808 €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FF4D88">
            <w:pPr>
              <w:spacing w:after="0" w:line="240" w:lineRule="auto"/>
              <w:jc w:val="right"/>
              <w:rPr>
                <w:rFonts w:cstheme="minorHAnsi"/>
              </w:rPr>
            </w:pPr>
            <w:r w:rsidRPr="00A87F5C">
              <w:rPr>
                <w:rFonts w:cstheme="minorHAnsi"/>
              </w:rPr>
              <w:t>3 393 900 €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FF4D88">
            <w:pPr>
              <w:spacing w:after="0" w:line="240" w:lineRule="auto"/>
              <w:jc w:val="right"/>
              <w:rPr>
                <w:rFonts w:cstheme="minorHAnsi"/>
              </w:rPr>
            </w:pPr>
            <w:r w:rsidRPr="00A87F5C">
              <w:rPr>
                <w:rFonts w:cstheme="minorHAnsi"/>
              </w:rPr>
              <w:t>3 492 271 €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FF4D88">
            <w:pPr>
              <w:spacing w:after="0" w:line="240" w:lineRule="auto"/>
              <w:jc w:val="right"/>
              <w:rPr>
                <w:rFonts w:cstheme="minorHAnsi"/>
              </w:rPr>
            </w:pPr>
            <w:r w:rsidRPr="00A87F5C">
              <w:rPr>
                <w:rFonts w:cstheme="minorHAnsi"/>
              </w:rPr>
              <w:t>-824 536 €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FF4D88">
            <w:pPr>
              <w:spacing w:after="0" w:line="240" w:lineRule="auto"/>
              <w:jc w:val="right"/>
              <w:rPr>
                <w:rFonts w:cstheme="minorHAnsi"/>
              </w:rPr>
            </w:pPr>
            <w:r w:rsidRPr="00A87F5C">
              <w:rPr>
                <w:rFonts w:cstheme="minorHAnsi"/>
              </w:rPr>
              <w:t>-19,1%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76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Produits financiers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249 766 €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249 767 €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249 766 €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12253A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77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Produits exceptionnels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190 650 €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3 488 699 €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3 523 963 €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3 333 313 €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3A" w:rsidRPr="00A87F5C" w:rsidRDefault="0012253A" w:rsidP="00FF4D88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1748,4%</w:t>
            </w:r>
          </w:p>
        </w:tc>
      </w:tr>
      <w:tr w:rsidR="00FF4D88" w:rsidRPr="00A87F5C" w:rsidTr="005E4646">
        <w:trPr>
          <w:trHeight w:val="25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FF4D8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FF4D8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Total Recettes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FF4D88">
            <w:pPr>
              <w:spacing w:after="0" w:line="240" w:lineRule="auto"/>
              <w:jc w:val="right"/>
              <w:rPr>
                <w:rFonts w:cstheme="minorHAnsi"/>
              </w:rPr>
            </w:pPr>
            <w:r w:rsidRPr="00A87F5C">
              <w:rPr>
                <w:rFonts w:cstheme="minorHAnsi"/>
              </w:rPr>
              <w:t>5 395 810 €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FF4D88">
            <w:pPr>
              <w:spacing w:after="0" w:line="240" w:lineRule="auto"/>
              <w:jc w:val="right"/>
              <w:rPr>
                <w:rFonts w:cstheme="minorHAnsi"/>
              </w:rPr>
            </w:pPr>
            <w:r w:rsidRPr="00A87F5C">
              <w:rPr>
                <w:rFonts w:cstheme="minorHAnsi"/>
              </w:rPr>
              <w:t>7 921 089 €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FF4D88">
            <w:pPr>
              <w:spacing w:after="0" w:line="240" w:lineRule="auto"/>
              <w:jc w:val="right"/>
              <w:rPr>
                <w:rFonts w:cstheme="minorHAnsi"/>
              </w:rPr>
            </w:pPr>
            <w:r w:rsidRPr="00A87F5C">
              <w:rPr>
                <w:rFonts w:cstheme="minorHAnsi"/>
              </w:rPr>
              <w:t>7 966 364 €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FF4D88">
            <w:pPr>
              <w:spacing w:after="0" w:line="240" w:lineRule="auto"/>
              <w:jc w:val="right"/>
              <w:rPr>
                <w:rFonts w:cstheme="minorHAnsi"/>
              </w:rPr>
            </w:pPr>
            <w:r w:rsidRPr="00A87F5C">
              <w:rPr>
                <w:rFonts w:cstheme="minorHAnsi"/>
              </w:rPr>
              <w:t>2 570 554 €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FF4D88">
            <w:pPr>
              <w:spacing w:after="0" w:line="240" w:lineRule="auto"/>
              <w:jc w:val="right"/>
              <w:rPr>
                <w:rFonts w:cstheme="minorHAnsi"/>
              </w:rPr>
            </w:pPr>
            <w:r w:rsidRPr="00A87F5C">
              <w:rPr>
                <w:rFonts w:cstheme="minorHAnsi"/>
              </w:rPr>
              <w:t>47,6%</w:t>
            </w:r>
          </w:p>
        </w:tc>
      </w:tr>
    </w:tbl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E45BAF" w:rsidRPr="00205732" w:rsidRDefault="00E45BAF" w:rsidP="00875C2B">
      <w:pPr>
        <w:pStyle w:val="Titre3"/>
      </w:pPr>
      <w:bookmarkStart w:id="58" w:name="_Toc74317354"/>
      <w:r>
        <w:t>L’analyse</w:t>
      </w:r>
      <w:bookmarkEnd w:id="58"/>
    </w:p>
    <w:p w:rsidR="00170025" w:rsidRPr="00F763B7" w:rsidRDefault="00170025" w:rsidP="0093096C">
      <w:pPr>
        <w:jc w:val="both"/>
      </w:pPr>
      <w:r w:rsidRPr="00F763B7">
        <w:t xml:space="preserve">Les éléments à noter sur l’exécution </w:t>
      </w:r>
      <w:r w:rsidR="0059648A">
        <w:t xml:space="preserve">de ce </w:t>
      </w:r>
      <w:r w:rsidRPr="00F763B7">
        <w:t xml:space="preserve">budget </w:t>
      </w:r>
      <w:r w:rsidR="0059648A">
        <w:t xml:space="preserve">en </w:t>
      </w:r>
      <w:r w:rsidRPr="00F763B7">
        <w:t>2020 sont </w:t>
      </w:r>
      <w:r w:rsidR="0059648A">
        <w:t xml:space="preserve">les suivantes </w:t>
      </w:r>
      <w:r w:rsidRPr="00F763B7">
        <w:t>:</w:t>
      </w:r>
    </w:p>
    <w:p w:rsidR="00BC4CEE" w:rsidRPr="008922E5" w:rsidRDefault="006A60F7" w:rsidP="005046DF">
      <w:pPr>
        <w:pStyle w:val="Paragraphedeliste"/>
        <w:numPr>
          <w:ilvl w:val="0"/>
          <w:numId w:val="4"/>
        </w:numPr>
        <w:jc w:val="both"/>
      </w:pPr>
      <w:r w:rsidRPr="008922E5">
        <w:t>Les charges à caractère général dimi</w:t>
      </w:r>
      <w:r w:rsidR="0059648A">
        <w:t xml:space="preserve">nuent entre 2019 et 2020 (-31%), notamment du fait </w:t>
      </w:r>
      <w:r w:rsidRPr="008922E5">
        <w:t xml:space="preserve">: </w:t>
      </w:r>
    </w:p>
    <w:p w:rsidR="006A60F7" w:rsidRPr="008922E5" w:rsidRDefault="0059648A" w:rsidP="005046DF">
      <w:pPr>
        <w:pStyle w:val="Paragraphedeliste"/>
        <w:numPr>
          <w:ilvl w:val="1"/>
          <w:numId w:val="4"/>
        </w:numPr>
        <w:jc w:val="both"/>
      </w:pPr>
      <w:r>
        <w:t>d’u</w:t>
      </w:r>
      <w:r w:rsidR="006A60F7" w:rsidRPr="008922E5">
        <w:t>ne baisse des charges d’entretien des zones artisanales (-65 K€),</w:t>
      </w:r>
    </w:p>
    <w:p w:rsidR="006A60F7" w:rsidRPr="008922E5" w:rsidRDefault="0059648A" w:rsidP="005046DF">
      <w:pPr>
        <w:pStyle w:val="Paragraphedeliste"/>
        <w:numPr>
          <w:ilvl w:val="1"/>
          <w:numId w:val="4"/>
        </w:numPr>
        <w:jc w:val="both"/>
      </w:pPr>
      <w:r>
        <w:t>de la diminution</w:t>
      </w:r>
      <w:r w:rsidR="006A60F7" w:rsidRPr="008922E5">
        <w:t xml:space="preserve"> des dépenses de communication liées à l’Arsenal des mers</w:t>
      </w:r>
      <w:r w:rsidR="00465C26">
        <w:t xml:space="preserve"> </w:t>
      </w:r>
      <w:r w:rsidR="006A60F7" w:rsidRPr="008922E5">
        <w:t>(-80</w:t>
      </w:r>
      <w:r w:rsidR="00465C26" w:rsidRPr="008922E5">
        <w:t> </w:t>
      </w:r>
      <w:r w:rsidR="006A60F7" w:rsidRPr="008922E5">
        <w:t>K€),</w:t>
      </w:r>
    </w:p>
    <w:p w:rsidR="006A60F7" w:rsidRPr="008922E5" w:rsidRDefault="0059648A" w:rsidP="005046DF">
      <w:pPr>
        <w:pStyle w:val="Paragraphedeliste"/>
        <w:numPr>
          <w:ilvl w:val="1"/>
          <w:numId w:val="4"/>
        </w:numPr>
        <w:jc w:val="both"/>
      </w:pPr>
      <w:r>
        <w:t>du</w:t>
      </w:r>
      <w:r w:rsidR="006A60F7" w:rsidRPr="008922E5">
        <w:t xml:space="preserve"> dragage </w:t>
      </w:r>
      <w:r>
        <w:t xml:space="preserve">devant les formes de radoub non </w:t>
      </w:r>
      <w:r w:rsidR="006A60F7" w:rsidRPr="008922E5">
        <w:t xml:space="preserve">facturé </w:t>
      </w:r>
      <w:r>
        <w:t xml:space="preserve">en 2020 </w:t>
      </w:r>
      <w:r w:rsidR="006A60F7" w:rsidRPr="008922E5">
        <w:t>(-109 K€)</w:t>
      </w:r>
    </w:p>
    <w:p w:rsidR="006A60F7" w:rsidRPr="008922E5" w:rsidRDefault="0059648A" w:rsidP="0059648A">
      <w:pPr>
        <w:pStyle w:val="Paragraphedeliste"/>
        <w:numPr>
          <w:ilvl w:val="1"/>
          <w:numId w:val="4"/>
        </w:numPr>
        <w:spacing w:after="240"/>
        <w:ind w:left="1434" w:hanging="357"/>
        <w:contextualSpacing w:val="0"/>
        <w:jc w:val="both"/>
      </w:pPr>
      <w:r>
        <w:t>de l</w:t>
      </w:r>
      <w:r w:rsidR="006A60F7" w:rsidRPr="008922E5">
        <w:t>a fin de certaines études de développement économique (-84 K€).</w:t>
      </w:r>
    </w:p>
    <w:p w:rsidR="008922E5" w:rsidRPr="008922E5" w:rsidRDefault="006A60F7" w:rsidP="0059648A">
      <w:pPr>
        <w:pStyle w:val="Paragraphedeliste"/>
        <w:numPr>
          <w:ilvl w:val="0"/>
          <w:numId w:val="4"/>
        </w:numPr>
        <w:spacing w:after="240"/>
        <w:contextualSpacing w:val="0"/>
        <w:jc w:val="both"/>
      </w:pPr>
      <w:r w:rsidRPr="008922E5">
        <w:t xml:space="preserve">De nouvelles subventions ont été allouées pour des projets innovants (30 K€) ou </w:t>
      </w:r>
      <w:r w:rsidR="008922E5" w:rsidRPr="008922E5">
        <w:t>en soutien à la filière aéronautique (10 K€).</w:t>
      </w:r>
    </w:p>
    <w:p w:rsidR="008922E5" w:rsidRDefault="008922E5" w:rsidP="0059648A">
      <w:pPr>
        <w:pStyle w:val="Paragraphedeliste"/>
        <w:numPr>
          <w:ilvl w:val="0"/>
          <w:numId w:val="4"/>
        </w:numPr>
        <w:spacing w:after="240"/>
        <w:contextualSpacing w:val="0"/>
        <w:jc w:val="both"/>
      </w:pPr>
      <w:r w:rsidRPr="008922E5">
        <w:t>Une avance remboursable a été transférée en subvention exceptionnelle au profit de l’association Arsenal des Mers (100 K€).</w:t>
      </w:r>
    </w:p>
    <w:p w:rsidR="00F15919" w:rsidRPr="008922E5" w:rsidRDefault="008922E5" w:rsidP="0059648A">
      <w:pPr>
        <w:pStyle w:val="Paragraphedeliste"/>
        <w:numPr>
          <w:ilvl w:val="0"/>
          <w:numId w:val="4"/>
        </w:numPr>
        <w:spacing w:after="240"/>
        <w:contextualSpacing w:val="0"/>
        <w:jc w:val="both"/>
      </w:pPr>
      <w:r w:rsidRPr="008922E5">
        <w:t xml:space="preserve">Les recettes constatées au chapitre 70 ne concernent que des </w:t>
      </w:r>
      <w:r w:rsidR="0059648A">
        <w:t>remboursements</w:t>
      </w:r>
      <w:r w:rsidRPr="008922E5">
        <w:t xml:space="preserve"> de frais de douane</w:t>
      </w:r>
      <w:r w:rsidR="0059648A">
        <w:t xml:space="preserve"> sur le projet Arsenal des Mers</w:t>
      </w:r>
      <w:r w:rsidRPr="008922E5">
        <w:t xml:space="preserve">. </w:t>
      </w:r>
    </w:p>
    <w:p w:rsidR="000D634F" w:rsidRPr="008922E5" w:rsidRDefault="00D5347D" w:rsidP="0059648A">
      <w:pPr>
        <w:pStyle w:val="Paragraphedeliste"/>
        <w:numPr>
          <w:ilvl w:val="0"/>
          <w:numId w:val="4"/>
        </w:numPr>
        <w:spacing w:after="240"/>
        <w:contextualSpacing w:val="0"/>
        <w:jc w:val="both"/>
      </w:pPr>
      <w:r w:rsidRPr="008922E5">
        <w:t>Des loyers perçus à hauteur de 1</w:t>
      </w:r>
      <w:r w:rsidR="00F3674C" w:rsidRPr="008922E5">
        <w:t xml:space="preserve"> 493 </w:t>
      </w:r>
      <w:r w:rsidRPr="008922E5">
        <w:t>K€ en 20</w:t>
      </w:r>
      <w:r w:rsidR="00F3674C" w:rsidRPr="008922E5">
        <w:t>20</w:t>
      </w:r>
      <w:r w:rsidR="000D634F" w:rsidRPr="008922E5">
        <w:t xml:space="preserve"> contre 1</w:t>
      </w:r>
      <w:r w:rsidR="00F3674C" w:rsidRPr="008922E5">
        <w:t xml:space="preserve"> 375 </w:t>
      </w:r>
      <w:r w:rsidR="000D634F" w:rsidRPr="008922E5">
        <w:t>K€ en 20</w:t>
      </w:r>
      <w:r w:rsidR="00F3674C" w:rsidRPr="008922E5">
        <w:t>19</w:t>
      </w:r>
      <w:r w:rsidR="0059648A">
        <w:t xml:space="preserve"> </w:t>
      </w:r>
      <w:r w:rsidR="0059648A" w:rsidRPr="008922E5">
        <w:t>(chapitre 75)</w:t>
      </w:r>
      <w:r w:rsidR="000D634F" w:rsidRPr="008922E5">
        <w:t>.</w:t>
      </w:r>
    </w:p>
    <w:p w:rsidR="005E4646" w:rsidRDefault="00BC4269" w:rsidP="0059648A">
      <w:pPr>
        <w:pStyle w:val="Paragraphedeliste"/>
        <w:numPr>
          <w:ilvl w:val="0"/>
          <w:numId w:val="4"/>
        </w:numPr>
        <w:spacing w:after="240"/>
        <w:contextualSpacing w:val="0"/>
        <w:jc w:val="both"/>
      </w:pPr>
      <w:r w:rsidRPr="008922E5">
        <w:t xml:space="preserve">Une subvention d’équilibre (chapitre 75) du budget principal de </w:t>
      </w:r>
      <w:r w:rsidR="005E4646" w:rsidRPr="008922E5">
        <w:t xml:space="preserve">1 999 </w:t>
      </w:r>
      <w:r w:rsidRPr="008922E5">
        <w:t>K€</w:t>
      </w:r>
      <w:r w:rsidR="00F15919" w:rsidRPr="008922E5">
        <w:t xml:space="preserve"> contre </w:t>
      </w:r>
      <w:r w:rsidR="005E4646" w:rsidRPr="008922E5">
        <w:t xml:space="preserve">2 942 </w:t>
      </w:r>
      <w:r w:rsidR="00F15919" w:rsidRPr="008922E5">
        <w:t>K€ en 201</w:t>
      </w:r>
      <w:r w:rsidR="008922E5" w:rsidRPr="008922E5">
        <w:t>9</w:t>
      </w:r>
      <w:r w:rsidR="0059648A">
        <w:t xml:space="preserve"> du fait des recettes exceptionnelles ci-dessous.</w:t>
      </w:r>
    </w:p>
    <w:p w:rsidR="006E1A2D" w:rsidRDefault="006E1A2D" w:rsidP="005046DF">
      <w:pPr>
        <w:pStyle w:val="Paragraphedeliste"/>
        <w:numPr>
          <w:ilvl w:val="0"/>
          <w:numId w:val="4"/>
        </w:numPr>
        <w:jc w:val="both"/>
      </w:pPr>
      <w:r>
        <w:t>Des recettes exceptionnelles ont abondés le budget annexe </w:t>
      </w:r>
      <w:r w:rsidR="0059648A">
        <w:t xml:space="preserve">en 2020 </w:t>
      </w:r>
      <w:r>
        <w:t xml:space="preserve">: </w:t>
      </w:r>
    </w:p>
    <w:p w:rsidR="006E1A2D" w:rsidRDefault="0059648A" w:rsidP="005046DF">
      <w:pPr>
        <w:pStyle w:val="Paragraphedeliste"/>
        <w:numPr>
          <w:ilvl w:val="1"/>
          <w:numId w:val="4"/>
        </w:numPr>
        <w:jc w:val="both"/>
      </w:pPr>
      <w:r>
        <w:t>l</w:t>
      </w:r>
      <w:r w:rsidR="006E1A2D">
        <w:t>’indemnité pour le sinistre SM France (1,6 M€)</w:t>
      </w:r>
    </w:p>
    <w:p w:rsidR="006E1A2D" w:rsidRDefault="0059648A" w:rsidP="005046DF">
      <w:pPr>
        <w:pStyle w:val="Paragraphedeliste"/>
        <w:numPr>
          <w:ilvl w:val="1"/>
          <w:numId w:val="4"/>
        </w:numPr>
        <w:jc w:val="both"/>
      </w:pPr>
      <w:r>
        <w:t>l’excédent de</w:t>
      </w:r>
      <w:r w:rsidR="006E1A2D">
        <w:t xml:space="preserve"> clôture de la zone de la </w:t>
      </w:r>
      <w:proofErr w:type="spellStart"/>
      <w:r w:rsidR="006E1A2D">
        <w:t>Pimale</w:t>
      </w:r>
      <w:proofErr w:type="spellEnd"/>
      <w:r w:rsidR="006E1A2D">
        <w:t xml:space="preserve"> à </w:t>
      </w:r>
      <w:proofErr w:type="spellStart"/>
      <w:r w:rsidR="006E1A2D">
        <w:t>Echillais</w:t>
      </w:r>
      <w:proofErr w:type="spellEnd"/>
      <w:r w:rsidR="006E1A2D">
        <w:t xml:space="preserve"> (555 K€)</w:t>
      </w:r>
    </w:p>
    <w:p w:rsidR="006E1A2D" w:rsidRDefault="0059648A" w:rsidP="005046DF">
      <w:pPr>
        <w:pStyle w:val="Paragraphedeliste"/>
        <w:numPr>
          <w:ilvl w:val="1"/>
          <w:numId w:val="4"/>
        </w:numPr>
        <w:jc w:val="both"/>
      </w:pPr>
      <w:r>
        <w:t>u</w:t>
      </w:r>
      <w:r w:rsidR="006E1A2D">
        <w:t>ne cession</w:t>
      </w:r>
      <w:r>
        <w:t xml:space="preserve"> immobilière</w:t>
      </w:r>
      <w:r w:rsidR="006E1A2D">
        <w:t xml:space="preserve"> zone </w:t>
      </w:r>
      <w:r w:rsidR="00FF4D88">
        <w:t xml:space="preserve">du Bois Brûlé à </w:t>
      </w:r>
      <w:r w:rsidR="00FF4D88" w:rsidRPr="0093096C">
        <w:t>Saint-Laurent-de-la-Prée</w:t>
      </w:r>
      <w:r w:rsidR="00FF4D88">
        <w:t xml:space="preserve"> (476 K€)</w:t>
      </w:r>
    </w:p>
    <w:p w:rsidR="00FF4D88" w:rsidRPr="008922E5" w:rsidRDefault="0059648A" w:rsidP="005046DF">
      <w:pPr>
        <w:pStyle w:val="Paragraphedeliste"/>
        <w:numPr>
          <w:ilvl w:val="1"/>
          <w:numId w:val="4"/>
        </w:numPr>
        <w:jc w:val="both"/>
      </w:pPr>
      <w:r>
        <w:t>l</w:t>
      </w:r>
      <w:r w:rsidR="00FF4D88">
        <w:t xml:space="preserve">a rétrocession au département d’une part de la zone de </w:t>
      </w:r>
      <w:proofErr w:type="spellStart"/>
      <w:r w:rsidR="00FF4D88">
        <w:t>Bel-Air</w:t>
      </w:r>
      <w:proofErr w:type="spellEnd"/>
      <w:r w:rsidR="00FF4D88">
        <w:t xml:space="preserve"> (375 K€)</w:t>
      </w:r>
    </w:p>
    <w:p w:rsidR="008922E5" w:rsidRDefault="00FF4D88" w:rsidP="005046DF">
      <w:pPr>
        <w:pStyle w:val="Paragraphedeliste"/>
        <w:numPr>
          <w:ilvl w:val="1"/>
          <w:numId w:val="4"/>
        </w:numPr>
        <w:jc w:val="both"/>
      </w:pPr>
      <w:r>
        <w:t>une subvention exceptionnelle (250 K€) allouée par le budget principal.</w:t>
      </w:r>
    </w:p>
    <w:p w:rsidR="00FF4D88" w:rsidRPr="005E4646" w:rsidRDefault="00FF4D88" w:rsidP="008922E5">
      <w:pPr>
        <w:pStyle w:val="Paragraphedeliste"/>
        <w:spacing w:after="0" w:line="240" w:lineRule="auto"/>
        <w:ind w:left="709"/>
        <w:jc w:val="both"/>
        <w:rPr>
          <w:color w:val="FF0000"/>
          <w:highlight w:val="yellow"/>
        </w:rPr>
      </w:pPr>
    </w:p>
    <w:p w:rsidR="005E4646" w:rsidRPr="00B1360B" w:rsidRDefault="00BC4269" w:rsidP="009228F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FF0000"/>
        </w:rPr>
      </w:pPr>
      <w:r w:rsidRPr="002F08C6">
        <w:t>Un emprunt a été encaissé en 20</w:t>
      </w:r>
      <w:r w:rsidR="002F08C6" w:rsidRPr="002F08C6">
        <w:t>20</w:t>
      </w:r>
      <w:r w:rsidRPr="002F08C6">
        <w:t xml:space="preserve"> pour </w:t>
      </w:r>
      <w:r w:rsidR="009F703F" w:rsidRPr="002F08C6">
        <w:t>2 3</w:t>
      </w:r>
      <w:r w:rsidR="002F08C6" w:rsidRPr="002F08C6">
        <w:t>10</w:t>
      </w:r>
      <w:r w:rsidRPr="002F08C6">
        <w:t xml:space="preserve"> K€ pour financer les dépenses d’équipement</w:t>
      </w:r>
      <w:r w:rsidR="007577BE" w:rsidRPr="002F08C6">
        <w:t xml:space="preserve">. </w:t>
      </w:r>
    </w:p>
    <w:p w:rsidR="00B1360B" w:rsidRPr="00B1360B" w:rsidRDefault="00B1360B" w:rsidP="00B1360B">
      <w:pPr>
        <w:spacing w:after="0" w:line="240" w:lineRule="auto"/>
        <w:jc w:val="both"/>
        <w:rPr>
          <w:color w:val="FF0000"/>
        </w:rPr>
      </w:pPr>
    </w:p>
    <w:p w:rsidR="00BC4269" w:rsidRPr="002F08C6" w:rsidRDefault="00BC4269" w:rsidP="0093096C">
      <w:pPr>
        <w:jc w:val="both"/>
      </w:pPr>
      <w:r w:rsidRPr="002F08C6">
        <w:t xml:space="preserve">Des dépenses d’équipement </w:t>
      </w:r>
      <w:r w:rsidR="000E58EA">
        <w:t xml:space="preserve">ont été </w:t>
      </w:r>
      <w:r w:rsidRPr="002F08C6">
        <w:t xml:space="preserve">mandatées à hauteur de </w:t>
      </w:r>
      <w:r w:rsidR="00507A2D" w:rsidRPr="002F08C6">
        <w:t>6 679</w:t>
      </w:r>
      <w:r w:rsidRPr="002F08C6">
        <w:t xml:space="preserve"> K€ et </w:t>
      </w:r>
      <w:r w:rsidR="00507A2D" w:rsidRPr="002F08C6">
        <w:t>4 234</w:t>
      </w:r>
      <w:r w:rsidRPr="002F08C6">
        <w:t xml:space="preserve"> K€ rest</w:t>
      </w:r>
      <w:r w:rsidR="000E58EA">
        <w:t>e</w:t>
      </w:r>
      <w:r w:rsidRPr="002F08C6">
        <w:t>nt à réaliser :</w:t>
      </w:r>
    </w:p>
    <w:tbl>
      <w:tblPr>
        <w:tblW w:w="8812" w:type="dxa"/>
        <w:jc w:val="center"/>
        <w:tblInd w:w="2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4400"/>
        <w:gridCol w:w="1620"/>
        <w:gridCol w:w="1780"/>
      </w:tblGrid>
      <w:tr w:rsidR="00FC1D70" w:rsidRPr="00507A2D" w:rsidTr="005E4646">
        <w:trPr>
          <w:trHeight w:val="300"/>
          <w:jc w:val="center"/>
        </w:trPr>
        <w:tc>
          <w:tcPr>
            <w:tcW w:w="101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FC1D70" w:rsidRPr="00507A2D" w:rsidRDefault="00FC1D70" w:rsidP="00507A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FC1D70" w:rsidRPr="00507A2D" w:rsidRDefault="00FC1D70" w:rsidP="00507A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C1D70" w:rsidRPr="007E4018" w:rsidRDefault="00FC1D70" w:rsidP="00FC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Mandaté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C1D70" w:rsidRPr="007E4018" w:rsidRDefault="00FC1D70" w:rsidP="00FC1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E401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Report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</w:t>
            </w:r>
          </w:p>
        </w:tc>
      </w:tr>
      <w:tr w:rsidR="00507A2D" w:rsidRPr="00507A2D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0E58EA" w:rsidP="0062547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Acquisition Terrains</w:t>
            </w:r>
            <w:r w:rsidR="00507A2D" w:rsidRPr="00507A2D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lang w:eastAsia="fr-FR"/>
              </w:rPr>
              <w:t>3 382 844 €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lang w:eastAsia="fr-FR"/>
              </w:rPr>
              <w:t>72 601 €</w:t>
            </w:r>
          </w:p>
        </w:tc>
      </w:tr>
      <w:tr w:rsidR="00307321" w:rsidRPr="00307321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307321" w:rsidRDefault="00307321" w:rsidP="00507A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 xml:space="preserve">Aménagements projet </w:t>
            </w: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Arsenal des mers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21" w:rsidRPr="00307321" w:rsidRDefault="00307321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1 778 431 €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307321" w:rsidRDefault="00307321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2 422 171 €</w:t>
            </w:r>
          </w:p>
        </w:tc>
      </w:tr>
      <w:tr w:rsidR="00507A2D" w:rsidRPr="00307321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0E58E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Rochefort - Z</w:t>
            </w:r>
            <w:r w:rsidR="000E58EA">
              <w:rPr>
                <w:rFonts w:eastAsia="Times New Roman" w:cstheme="minorHAnsi"/>
                <w:bCs/>
                <w:color w:val="000000"/>
                <w:lang w:eastAsia="fr-FR"/>
              </w:rPr>
              <w:t>AC</w:t>
            </w: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 </w:t>
            </w:r>
            <w:r w:rsidR="000E58EA">
              <w:rPr>
                <w:rFonts w:eastAsia="Times New Roman" w:cstheme="minorHAnsi"/>
                <w:bCs/>
                <w:color w:val="000000"/>
                <w:lang w:eastAsia="fr-FR"/>
              </w:rPr>
              <w:t>Z</w:t>
            </w: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one </w:t>
            </w:r>
            <w:r w:rsidR="000E58EA">
              <w:rPr>
                <w:rFonts w:eastAsia="Times New Roman" w:cstheme="minorHAnsi"/>
                <w:bCs/>
                <w:color w:val="000000"/>
                <w:lang w:eastAsia="fr-FR"/>
              </w:rPr>
              <w:t>A</w:t>
            </w: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rsenal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307321" w:rsidRDefault="00507A2D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597 944 €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307321" w:rsidRDefault="00507A2D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555 502 €</w:t>
            </w:r>
          </w:p>
        </w:tc>
      </w:tr>
      <w:tr w:rsidR="00507A2D" w:rsidRPr="00307321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Rochefort - zone portuaire: acquisitions foncières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307321" w:rsidRDefault="00507A2D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259 352 €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307321" w:rsidRDefault="00507A2D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5 700 €</w:t>
            </w:r>
          </w:p>
        </w:tc>
      </w:tr>
      <w:tr w:rsidR="00507A2D" w:rsidRPr="00307321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0E58E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proofErr w:type="spellStart"/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Echillais</w:t>
            </w:r>
            <w:proofErr w:type="spellEnd"/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 - zone l’</w:t>
            </w:r>
            <w:proofErr w:type="spellStart"/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Houm</w:t>
            </w:r>
            <w:r w:rsidR="000E58EA">
              <w:rPr>
                <w:rFonts w:eastAsia="Times New Roman" w:cstheme="minorHAnsi"/>
                <w:bCs/>
                <w:color w:val="000000"/>
                <w:lang w:eastAsia="fr-FR"/>
              </w:rPr>
              <w:t>é</w:t>
            </w: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307321" w:rsidRDefault="00507A2D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187 497 €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307321" w:rsidRDefault="00507A2D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75 471 €</w:t>
            </w:r>
          </w:p>
        </w:tc>
      </w:tr>
      <w:tr w:rsidR="00507A2D" w:rsidRPr="00307321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0E58E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Tonnay-Charente - zone </w:t>
            </w:r>
            <w:r w:rsidR="000E58EA">
              <w:rPr>
                <w:rFonts w:eastAsia="Times New Roman" w:cstheme="minorHAnsi"/>
                <w:bCs/>
                <w:color w:val="000000"/>
                <w:lang w:eastAsia="fr-FR"/>
              </w:rPr>
              <w:t>C</w:t>
            </w: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roix </w:t>
            </w:r>
            <w:r w:rsidR="00F20342">
              <w:rPr>
                <w:rFonts w:eastAsia="Times New Roman" w:cstheme="minorHAnsi"/>
                <w:bCs/>
                <w:color w:val="000000"/>
                <w:lang w:eastAsia="fr-FR"/>
              </w:rPr>
              <w:t>B</w:t>
            </w: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iron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307321" w:rsidRDefault="00507A2D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153 100 €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307321" w:rsidRDefault="00507A2D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91 942 €</w:t>
            </w:r>
          </w:p>
        </w:tc>
      </w:tr>
      <w:tr w:rsidR="003B3811" w:rsidRPr="00307321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811" w:rsidRPr="00307321" w:rsidRDefault="003B3811" w:rsidP="00E45BA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Bois du </w:t>
            </w:r>
            <w:r>
              <w:rPr>
                <w:rFonts w:eastAsia="Times New Roman" w:cstheme="minorHAnsi"/>
                <w:bCs/>
                <w:color w:val="000000"/>
                <w:lang w:eastAsia="fr-FR"/>
              </w:rPr>
              <w:t>N</w:t>
            </w: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ord </w:t>
            </w:r>
            <w:r>
              <w:rPr>
                <w:rFonts w:eastAsia="Times New Roman" w:cstheme="minorHAnsi"/>
                <w:bCs/>
                <w:color w:val="000000"/>
                <w:lang w:eastAsia="fr-FR"/>
              </w:rPr>
              <w:t>P</w:t>
            </w: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ole R</w:t>
            </w:r>
            <w:r>
              <w:rPr>
                <w:rFonts w:eastAsia="Times New Roman" w:cstheme="minorHAnsi"/>
                <w:bCs/>
                <w:color w:val="000000"/>
                <w:lang w:eastAsia="fr-FR"/>
              </w:rPr>
              <w:t>ochefort Atlantique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11" w:rsidRPr="00307321" w:rsidRDefault="003B3811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98 505 €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811" w:rsidRPr="00307321" w:rsidRDefault="003B3811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365 500 €</w:t>
            </w:r>
          </w:p>
        </w:tc>
      </w:tr>
      <w:tr w:rsidR="00507A2D" w:rsidRPr="00307321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Rochefort - zone de la Vacherie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307321" w:rsidRDefault="00507A2D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41 360 €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307321" w:rsidRDefault="00507A2D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0 €</w:t>
            </w:r>
          </w:p>
        </w:tc>
      </w:tr>
      <w:tr w:rsidR="00507A2D" w:rsidRPr="00307321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Atelier de transformation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307321" w:rsidRDefault="00507A2D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27 450 €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307321" w:rsidRDefault="00507A2D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000000"/>
                <w:lang w:eastAsia="fr-FR"/>
              </w:rPr>
              <w:t>31 825 €</w:t>
            </w:r>
          </w:p>
        </w:tc>
      </w:tr>
      <w:tr w:rsidR="00507A2D" w:rsidRPr="00507A2D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F20342" w:rsidP="00507A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Tonnay-Charente - zone la V</w:t>
            </w:r>
            <w:r w:rsidR="00507A2D" w:rsidRPr="00507A2D">
              <w:rPr>
                <w:rFonts w:eastAsia="Times New Roman" w:cstheme="minorHAnsi"/>
                <w:bCs/>
                <w:color w:val="000000"/>
                <w:lang w:eastAsia="fr-FR"/>
              </w:rPr>
              <w:t>arenne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lang w:eastAsia="fr-FR"/>
              </w:rPr>
              <w:t>24 945 €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lang w:eastAsia="fr-FR"/>
              </w:rPr>
              <w:t>20 686 €</w:t>
            </w:r>
          </w:p>
        </w:tc>
      </w:tr>
      <w:tr w:rsidR="00507A2D" w:rsidRPr="00507A2D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E45BA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Rochefort - zone des </w:t>
            </w:r>
            <w:r w:rsidR="00E45BAF">
              <w:rPr>
                <w:rFonts w:eastAsia="Times New Roman" w:cstheme="minorHAnsi"/>
                <w:bCs/>
                <w:color w:val="000000"/>
                <w:lang w:eastAsia="fr-FR"/>
              </w:rPr>
              <w:t>S</w:t>
            </w: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œurs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lang w:eastAsia="fr-FR"/>
              </w:rPr>
              <w:t>24 620 €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lang w:eastAsia="fr-FR"/>
              </w:rPr>
              <w:t>3 140 €</w:t>
            </w:r>
          </w:p>
        </w:tc>
      </w:tr>
      <w:tr w:rsidR="00507A2D" w:rsidRPr="00507A2D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Rochefort - zone </w:t>
            </w:r>
            <w:proofErr w:type="spellStart"/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Béligon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lang w:eastAsia="fr-FR"/>
              </w:rPr>
              <w:t>18 252 €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lang w:eastAsia="fr-FR"/>
              </w:rPr>
              <w:t>289 650 €</w:t>
            </w:r>
          </w:p>
        </w:tc>
      </w:tr>
      <w:tr w:rsidR="00507A2D" w:rsidRPr="00507A2D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Pole formation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465C26">
              <w:rPr>
                <w:rFonts w:eastAsia="Times New Roman" w:cstheme="minorHAnsi"/>
                <w:lang w:eastAsia="fr-FR"/>
              </w:rPr>
              <w:t>14 400 €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465C26">
              <w:rPr>
                <w:rFonts w:eastAsia="Times New Roman" w:cstheme="minorHAnsi"/>
                <w:lang w:eastAsia="fr-FR"/>
              </w:rPr>
              <w:t>30 175 €</w:t>
            </w:r>
          </w:p>
        </w:tc>
      </w:tr>
      <w:tr w:rsidR="00507A2D" w:rsidRPr="00507A2D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Commerces de proximité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465C26">
              <w:rPr>
                <w:rFonts w:eastAsia="Times New Roman" w:cstheme="minorHAnsi"/>
                <w:lang w:eastAsia="fr-FR"/>
              </w:rPr>
              <w:t>12 000 €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465C26">
              <w:rPr>
                <w:rFonts w:eastAsia="Times New Roman" w:cstheme="minorHAnsi"/>
                <w:lang w:eastAsia="fr-FR"/>
              </w:rPr>
              <w:t>27 240 €</w:t>
            </w:r>
          </w:p>
        </w:tc>
      </w:tr>
      <w:tr w:rsidR="00507A2D" w:rsidRPr="00507A2D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St Laurent - Zone Bois Brûlé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465C26">
              <w:rPr>
                <w:rFonts w:eastAsia="Times New Roman" w:cstheme="minorHAnsi"/>
                <w:lang w:eastAsia="fr-FR"/>
              </w:rPr>
              <w:t>11 163 €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465C26">
              <w:rPr>
                <w:rFonts w:eastAsia="Times New Roman" w:cstheme="minorHAnsi"/>
                <w:lang w:eastAsia="fr-FR"/>
              </w:rPr>
              <w:t>72 116 €</w:t>
            </w:r>
          </w:p>
        </w:tc>
      </w:tr>
      <w:tr w:rsidR="00507A2D" w:rsidRPr="00507A2D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SM France </w:t>
            </w:r>
            <w:proofErr w:type="spellStart"/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Werzalit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465C26">
              <w:rPr>
                <w:rFonts w:eastAsia="Times New Roman" w:cstheme="minorHAnsi"/>
                <w:lang w:eastAsia="fr-FR"/>
              </w:rPr>
              <w:t>8 007 €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465C26">
              <w:rPr>
                <w:rFonts w:eastAsia="Times New Roman" w:cstheme="minorHAnsi"/>
                <w:lang w:eastAsia="fr-FR"/>
              </w:rPr>
              <w:t>2 899 €</w:t>
            </w:r>
          </w:p>
        </w:tc>
      </w:tr>
      <w:tr w:rsidR="00507A2D" w:rsidRPr="00507A2D" w:rsidTr="005E4646">
        <w:trPr>
          <w:trHeight w:val="30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Etudes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465C26">
              <w:rPr>
                <w:rFonts w:eastAsia="Times New Roman" w:cstheme="minorHAnsi"/>
                <w:bCs/>
                <w:color w:val="000000"/>
                <w:lang w:eastAsia="fr-FR"/>
              </w:rPr>
              <w:t>6 720 €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465C26">
              <w:rPr>
                <w:rFonts w:eastAsia="Times New Roman" w:cstheme="minorHAnsi"/>
                <w:bCs/>
                <w:color w:val="000000"/>
                <w:lang w:eastAsia="fr-FR"/>
              </w:rPr>
              <w:t>31 435 €</w:t>
            </w:r>
          </w:p>
        </w:tc>
      </w:tr>
      <w:tr w:rsidR="00307321" w:rsidRPr="00307321" w:rsidTr="00A90992">
        <w:trPr>
          <w:trHeight w:val="30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307321" w:rsidRDefault="00307321" w:rsidP="00A90992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595959" w:themeColor="text1" w:themeTint="A6"/>
                <w:lang w:eastAsia="fr-FR"/>
              </w:rPr>
              <w:t>Etudes diverses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21" w:rsidRPr="00307321" w:rsidRDefault="00307321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595959" w:themeColor="text1" w:themeTint="A6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595959" w:themeColor="text1" w:themeTint="A6"/>
                <w:lang w:eastAsia="fr-FR"/>
              </w:rPr>
              <w:t>8 930 €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307321" w:rsidRDefault="00307321" w:rsidP="0030732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595959" w:themeColor="text1" w:themeTint="A6"/>
                <w:lang w:eastAsia="fr-FR"/>
              </w:rPr>
            </w:pPr>
            <w:r w:rsidRPr="00307321">
              <w:rPr>
                <w:rFonts w:eastAsia="Times New Roman" w:cstheme="minorHAnsi"/>
                <w:bCs/>
                <w:color w:val="595959" w:themeColor="text1" w:themeTint="A6"/>
                <w:lang w:eastAsia="fr-FR"/>
              </w:rPr>
              <w:t>20 140 €</w:t>
            </w:r>
          </w:p>
        </w:tc>
      </w:tr>
      <w:tr w:rsidR="00507A2D" w:rsidRPr="00465C26" w:rsidTr="005E4646">
        <w:trPr>
          <w:trHeight w:val="30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 xml:space="preserve">Etude </w:t>
            </w:r>
            <w:proofErr w:type="spellStart"/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datacenter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6 720 €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0 €</w:t>
            </w:r>
          </w:p>
        </w:tc>
      </w:tr>
      <w:tr w:rsidR="00507A2D" w:rsidRPr="00465C26" w:rsidTr="005E4646">
        <w:trPr>
          <w:trHeight w:val="30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rPr>
                <w:rFonts w:eastAsia="Times New Roman" w:cstheme="minorHAnsi"/>
                <w:bCs/>
                <w:color w:val="595959" w:themeColor="text1" w:themeTint="A6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Etude de densification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0 €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465C26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22 935 €</w:t>
            </w:r>
          </w:p>
        </w:tc>
      </w:tr>
      <w:tr w:rsidR="00507A2D" w:rsidRPr="00507A2D" w:rsidTr="005E4646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Rochefort - Village multimédia Zola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lang w:eastAsia="fr-FR"/>
              </w:rPr>
              <w:t>3 589 €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lang w:eastAsia="fr-FR"/>
              </w:rPr>
              <w:t>34 954 €</w:t>
            </w:r>
          </w:p>
        </w:tc>
      </w:tr>
      <w:tr w:rsidR="00507A2D" w:rsidRPr="00507A2D" w:rsidTr="00307321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Co-</w:t>
            </w:r>
            <w:proofErr w:type="spellStart"/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working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lang w:eastAsia="fr-FR"/>
              </w:rPr>
              <w:t>2 983 €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lang w:eastAsia="fr-FR"/>
              </w:rPr>
              <w:t>10 387 €</w:t>
            </w:r>
          </w:p>
        </w:tc>
      </w:tr>
      <w:tr w:rsidR="00307321" w:rsidRPr="00507A2D" w:rsidTr="00307321">
        <w:trPr>
          <w:trHeight w:val="300"/>
          <w:jc w:val="center"/>
        </w:trPr>
        <w:tc>
          <w:tcPr>
            <w:tcW w:w="541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7321" w:rsidRPr="00507A2D" w:rsidRDefault="00307321" w:rsidP="00A9099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Rochefort - Zone Pont neuf</w:t>
            </w: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21" w:rsidRPr="00507A2D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lang w:eastAsia="fr-FR"/>
              </w:rPr>
              <w:t>837 €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507A2D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507A2D">
              <w:rPr>
                <w:rFonts w:eastAsia="Times New Roman" w:cstheme="minorHAnsi"/>
                <w:lang w:eastAsia="fr-FR"/>
              </w:rPr>
              <w:t>61 843 €</w:t>
            </w:r>
          </w:p>
        </w:tc>
      </w:tr>
      <w:tr w:rsidR="00307321" w:rsidRPr="00507A2D" w:rsidTr="00307321">
        <w:trPr>
          <w:trHeight w:val="300"/>
          <w:jc w:val="center"/>
        </w:trPr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507A2D" w:rsidRDefault="00307321" w:rsidP="00A9099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Cs/>
                <w:color w:val="000000"/>
                <w:lang w:eastAsia="fr-FR"/>
              </w:rPr>
              <w:t>Divers</w:t>
            </w:r>
          </w:p>
        </w:tc>
        <w:tc>
          <w:tcPr>
            <w:tcW w:w="4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507A2D" w:rsidRDefault="00307321" w:rsidP="00A909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465C26">
              <w:rPr>
                <w:rFonts w:eastAsia="Times New Roman" w:cstheme="minorHAnsi"/>
                <w:bCs/>
                <w:color w:val="000000"/>
                <w:lang w:eastAsia="fr-FR"/>
              </w:rPr>
              <w:t>16 052 €</w:t>
            </w:r>
          </w:p>
        </w:tc>
        <w:tc>
          <w:tcPr>
            <w:tcW w:w="17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465C26">
              <w:rPr>
                <w:rFonts w:eastAsia="Times New Roman" w:cstheme="minorHAnsi"/>
                <w:bCs/>
                <w:color w:val="000000"/>
                <w:lang w:eastAsia="fr-FR"/>
              </w:rPr>
              <w:t>17 423 €</w:t>
            </w:r>
          </w:p>
        </w:tc>
      </w:tr>
      <w:tr w:rsidR="00307321" w:rsidRPr="00507A2D" w:rsidTr="00A90992">
        <w:trPr>
          <w:trHeight w:val="30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507A2D" w:rsidRDefault="00307321" w:rsidP="00A9099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 xml:space="preserve">La </w:t>
            </w:r>
            <w:proofErr w:type="spellStart"/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Pimale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7 458 €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0 €</w:t>
            </w:r>
          </w:p>
        </w:tc>
      </w:tr>
      <w:tr w:rsidR="00307321" w:rsidRPr="00507A2D" w:rsidTr="00A90992">
        <w:trPr>
          <w:trHeight w:val="30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507A2D" w:rsidRDefault="00307321" w:rsidP="00A9099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Centre International de la Mer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4 411 €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0 €</w:t>
            </w:r>
          </w:p>
        </w:tc>
      </w:tr>
      <w:tr w:rsidR="00307321" w:rsidRPr="00507A2D" w:rsidTr="00A90992">
        <w:trPr>
          <w:trHeight w:val="30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507A2D" w:rsidRDefault="00307321" w:rsidP="00A9099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Lutte contre les déserts médicaux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1 890 €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0 €</w:t>
            </w:r>
          </w:p>
        </w:tc>
      </w:tr>
      <w:tr w:rsidR="00307321" w:rsidRPr="00507A2D" w:rsidTr="00A90992">
        <w:trPr>
          <w:trHeight w:val="30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507A2D" w:rsidRDefault="00307321" w:rsidP="00A9099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Rochefort - Garage Insertion Rochefort Océan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582 €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2 400 €</w:t>
            </w:r>
          </w:p>
        </w:tc>
      </w:tr>
      <w:tr w:rsidR="00307321" w:rsidRPr="00507A2D" w:rsidTr="00A90992">
        <w:trPr>
          <w:trHeight w:val="30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507A2D" w:rsidRDefault="00307321" w:rsidP="00A9099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Travaux divers dans les zones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0 €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10 168 €</w:t>
            </w:r>
          </w:p>
        </w:tc>
      </w:tr>
      <w:tr w:rsidR="00307321" w:rsidRPr="00507A2D" w:rsidTr="00A90992">
        <w:trPr>
          <w:trHeight w:val="30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507A2D" w:rsidRDefault="00307321" w:rsidP="00A9099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Divers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1 710 €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21" w:rsidRPr="00465C26" w:rsidRDefault="00307321" w:rsidP="00A90992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</w:pPr>
            <w:r w:rsidRPr="00465C26">
              <w:rPr>
                <w:rFonts w:eastAsia="Times New Roman" w:cstheme="minorHAnsi"/>
                <w:i/>
                <w:color w:val="595959" w:themeColor="text1" w:themeTint="A6"/>
                <w:lang w:eastAsia="fr-FR"/>
              </w:rPr>
              <w:t>4 856 €</w:t>
            </w:r>
          </w:p>
        </w:tc>
      </w:tr>
      <w:tr w:rsidR="00507A2D" w:rsidRPr="00507A2D" w:rsidTr="005E4646">
        <w:trPr>
          <w:trHeight w:val="300"/>
          <w:jc w:val="center"/>
        </w:trPr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6 678 979 €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A2D" w:rsidRPr="00507A2D" w:rsidRDefault="00507A2D" w:rsidP="00507A2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507A2D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4 234 299 €</w:t>
            </w:r>
          </w:p>
        </w:tc>
      </w:tr>
    </w:tbl>
    <w:p w:rsidR="00507A2D" w:rsidRDefault="00507A2D" w:rsidP="009228F1">
      <w:pPr>
        <w:spacing w:after="0" w:line="240" w:lineRule="auto"/>
        <w:jc w:val="both"/>
      </w:pPr>
    </w:p>
    <w:p w:rsidR="0059648A" w:rsidRPr="005E4646" w:rsidRDefault="0059648A" w:rsidP="0059648A">
      <w:pPr>
        <w:jc w:val="both"/>
      </w:pPr>
      <w:r w:rsidRPr="005E4646">
        <w:t>Les reports d’investissement s’élèvent à 4 404 K€ en dépenses et à 1 333 K€ en recettes.</w:t>
      </w:r>
    </w:p>
    <w:p w:rsidR="006E1A2D" w:rsidRDefault="006E1A2D">
      <w:pPr>
        <w:spacing w:after="200" w:line="276" w:lineRule="auto"/>
      </w:pPr>
    </w:p>
    <w:p w:rsidR="00352348" w:rsidRDefault="00352348" w:rsidP="00875C2B">
      <w:pPr>
        <w:pStyle w:val="Titre3"/>
      </w:pPr>
      <w:r>
        <w:br w:type="page"/>
      </w:r>
    </w:p>
    <w:p w:rsidR="0091218C" w:rsidRPr="00205732" w:rsidRDefault="0091218C" w:rsidP="00875C2B">
      <w:pPr>
        <w:pStyle w:val="Titre3"/>
      </w:pPr>
      <w:bookmarkStart w:id="59" w:name="_Toc74317355"/>
      <w:r w:rsidRPr="00205732">
        <w:lastRenderedPageBreak/>
        <w:t>Le résultat 20</w:t>
      </w:r>
      <w:r w:rsidR="00205732" w:rsidRPr="00205732">
        <w:t>20</w:t>
      </w:r>
      <w:r w:rsidRPr="00205732">
        <w:t xml:space="preserve"> et son affectation</w:t>
      </w:r>
      <w:bookmarkEnd w:id="59"/>
    </w:p>
    <w:tbl>
      <w:tblPr>
        <w:tblW w:w="8833" w:type="dxa"/>
        <w:jc w:val="center"/>
        <w:tblInd w:w="-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3"/>
        <w:gridCol w:w="779"/>
        <w:gridCol w:w="1711"/>
      </w:tblGrid>
      <w:tr w:rsidR="00205732" w:rsidRPr="00A87F5C" w:rsidTr="0012253A">
        <w:trPr>
          <w:trHeight w:val="300"/>
          <w:jc w:val="center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AFFECTATION DU RESULTAT DE FONCTIONNEMENT 2020</w:t>
            </w:r>
          </w:p>
        </w:tc>
      </w:tr>
      <w:tr w:rsidR="00205732" w:rsidRPr="00A87F5C" w:rsidTr="00507A2D">
        <w:trPr>
          <w:trHeight w:val="30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FONCTIONNEMENT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205732" w:rsidRPr="00A87F5C" w:rsidTr="00507A2D">
        <w:trPr>
          <w:trHeight w:val="30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A87F5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143 886,85 €</w:t>
            </w:r>
          </w:p>
        </w:tc>
      </w:tr>
      <w:tr w:rsidR="00205732" w:rsidRPr="00A87F5C" w:rsidTr="00507A2D">
        <w:trPr>
          <w:trHeight w:val="30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05732" w:rsidRPr="00A87F5C" w:rsidRDefault="00205732" w:rsidP="00A87F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3 539 576,36 €</w:t>
            </w:r>
          </w:p>
        </w:tc>
      </w:tr>
      <w:tr w:rsidR="00205732" w:rsidRPr="00A87F5C" w:rsidTr="00507A2D">
        <w:trPr>
          <w:trHeight w:val="30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A87F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= Résultat à affecter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3 683 463,21 €</w:t>
            </w:r>
          </w:p>
        </w:tc>
      </w:tr>
      <w:tr w:rsidR="00205732" w:rsidRPr="00A87F5C" w:rsidTr="00507A2D">
        <w:trPr>
          <w:trHeight w:val="30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INVESTISSEMENT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205732" w:rsidRPr="00A87F5C" w:rsidTr="00507A2D">
        <w:trPr>
          <w:trHeight w:val="30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A87F5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-667 683,70 €</w:t>
            </w:r>
          </w:p>
        </w:tc>
      </w:tr>
      <w:tr w:rsidR="00205732" w:rsidRPr="00A87F5C" w:rsidTr="00507A2D">
        <w:trPr>
          <w:trHeight w:val="30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05732" w:rsidRPr="00A87F5C" w:rsidRDefault="00205732" w:rsidP="00A87F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111 584,69 €</w:t>
            </w:r>
          </w:p>
        </w:tc>
      </w:tr>
      <w:tr w:rsidR="00205732" w:rsidRPr="00A87F5C" w:rsidTr="00507A2D">
        <w:trPr>
          <w:trHeight w:val="30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A87F5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= Résultat cumulé à reporter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3B38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D 001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-556 099,01 €</w:t>
            </w:r>
          </w:p>
        </w:tc>
      </w:tr>
      <w:tr w:rsidR="00205732" w:rsidRPr="00A87F5C" w:rsidTr="00507A2D">
        <w:trPr>
          <w:trHeight w:val="30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A87F5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Solde des restes à réaliser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3B38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-3 071 031,57 €</w:t>
            </w:r>
          </w:p>
        </w:tc>
      </w:tr>
      <w:tr w:rsidR="00205732" w:rsidRPr="00A87F5C" w:rsidTr="00507A2D">
        <w:trPr>
          <w:trHeight w:val="30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A87F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= Besoin de financement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3B3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-3 627 130,58 €</w:t>
            </w:r>
          </w:p>
        </w:tc>
      </w:tr>
      <w:tr w:rsidR="00205732" w:rsidRPr="00A87F5C" w:rsidTr="00507A2D">
        <w:trPr>
          <w:trHeight w:val="30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AFFECTATION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3B3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205732" w:rsidRPr="00A87F5C" w:rsidTr="00507A2D">
        <w:trPr>
          <w:trHeight w:val="30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A87F5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Couverture du besoin de financement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3B38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R 1068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3 627 130,58 €</w:t>
            </w:r>
          </w:p>
        </w:tc>
      </w:tr>
      <w:tr w:rsidR="00205732" w:rsidRPr="00A87F5C" w:rsidTr="00507A2D">
        <w:trPr>
          <w:trHeight w:val="30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A87F5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Excédent de fonctionnement restant à reporter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3B38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R 002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56 332,63 €</w:t>
            </w:r>
          </w:p>
        </w:tc>
      </w:tr>
      <w:tr w:rsidR="00205732" w:rsidRPr="00A87F5C" w:rsidTr="00507A2D">
        <w:trPr>
          <w:trHeight w:val="30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A87F5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Solde des restes à réaliser de fonctionnement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-56 332,63 €</w:t>
            </w:r>
          </w:p>
        </w:tc>
      </w:tr>
      <w:tr w:rsidR="00205732" w:rsidRPr="00A87F5C" w:rsidTr="00507A2D">
        <w:trPr>
          <w:trHeight w:val="30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RESULTAT GLOBAL 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732" w:rsidRPr="00A87F5C" w:rsidRDefault="00205732" w:rsidP="00205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lang w:eastAsia="fr-FR"/>
              </w:rPr>
              <w:t>0,00 €</w:t>
            </w:r>
          </w:p>
        </w:tc>
      </w:tr>
    </w:tbl>
    <w:p w:rsidR="0091218C" w:rsidRDefault="0091218C" w:rsidP="0091218C">
      <w:pPr>
        <w:spacing w:after="0" w:line="240" w:lineRule="auto"/>
        <w:jc w:val="center"/>
      </w:pPr>
    </w:p>
    <w:p w:rsidR="00D37C01" w:rsidRDefault="00D37C01">
      <w:pPr>
        <w:spacing w:after="200" w:line="276" w:lineRule="auto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0541E" w:rsidRDefault="0080541E" w:rsidP="0080541E">
      <w:pPr>
        <w:pStyle w:val="Titre2"/>
      </w:pPr>
      <w:bookmarkStart w:id="60" w:name="_Toc74317356"/>
      <w:r>
        <w:lastRenderedPageBreak/>
        <w:t>Transport</w:t>
      </w:r>
      <w:bookmarkEnd w:id="60"/>
    </w:p>
    <w:p w:rsidR="00205732" w:rsidRPr="00205732" w:rsidRDefault="0091218C" w:rsidP="0093096C">
      <w:pPr>
        <w:spacing w:after="200" w:line="276" w:lineRule="auto"/>
      </w:pPr>
      <w:r w:rsidRPr="00205732">
        <w:t xml:space="preserve">Ce budget retrace les opérations liées au transport sur le territoire de la CARO. </w:t>
      </w:r>
    </w:p>
    <w:p w:rsidR="0091218C" w:rsidRPr="00205732" w:rsidRDefault="0091218C" w:rsidP="0093096C">
      <w:pPr>
        <w:spacing w:after="200" w:line="276" w:lineRule="auto"/>
      </w:pPr>
      <w:r w:rsidRPr="00205732">
        <w:t>Les opérations réalisées en 20</w:t>
      </w:r>
      <w:r w:rsidR="00205732" w:rsidRPr="00205732">
        <w:t>20</w:t>
      </w:r>
      <w:r w:rsidRPr="00205732">
        <w:t xml:space="preserve"> sont présentées ci-dessous :</w:t>
      </w:r>
    </w:p>
    <w:tbl>
      <w:tblPr>
        <w:tblW w:w="11114" w:type="dxa"/>
        <w:jc w:val="center"/>
        <w:tblInd w:w="-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4537"/>
        <w:gridCol w:w="1276"/>
        <w:gridCol w:w="1276"/>
        <w:gridCol w:w="1275"/>
        <w:gridCol w:w="1204"/>
        <w:gridCol w:w="950"/>
      </w:tblGrid>
      <w:tr w:rsidR="003319A4" w:rsidRPr="00A87F5C" w:rsidTr="00A87F5C">
        <w:trPr>
          <w:trHeight w:val="255"/>
          <w:jc w:val="center"/>
        </w:trPr>
        <w:tc>
          <w:tcPr>
            <w:tcW w:w="5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Investissement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BUDGETE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EVOLUTION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2020-2019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001</w:t>
            </w:r>
          </w:p>
        </w:tc>
        <w:tc>
          <w:tcPr>
            <w:tcW w:w="45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Résultat reporté d'investissement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64 321 €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-64 321 €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-100,0%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040</w:t>
            </w:r>
          </w:p>
        </w:tc>
        <w:tc>
          <w:tcPr>
            <w:tcW w:w="45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Opérations d'ordre de transfert entre sections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70 818 €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84 636 €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76 636 €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5 818 €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8,2%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041</w:t>
            </w:r>
          </w:p>
        </w:tc>
        <w:tc>
          <w:tcPr>
            <w:tcW w:w="45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Opérations patrimoniales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168 797 €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2 987 €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2 987 €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16</w:t>
            </w:r>
          </w:p>
        </w:tc>
        <w:tc>
          <w:tcPr>
            <w:tcW w:w="45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Emprunts et dettes assimilés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145 504 €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127 500 €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123 405 €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-22 099 €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-15,2%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20</w:t>
            </w:r>
          </w:p>
        </w:tc>
        <w:tc>
          <w:tcPr>
            <w:tcW w:w="45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Immobilisations incorporelles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7 734 €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4 821 €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260 €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-7 475 €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-96,6%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21</w:t>
            </w:r>
          </w:p>
        </w:tc>
        <w:tc>
          <w:tcPr>
            <w:tcW w:w="45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Immobilisations corporelles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94 601 €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120 386 €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21 777 €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-72 824 €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-77,0%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23</w:t>
            </w:r>
          </w:p>
        </w:tc>
        <w:tc>
          <w:tcPr>
            <w:tcW w:w="45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Immobilisations en cours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219 088 €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291 488 €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128 992 €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-90 096 €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-41,1%</w:t>
            </w:r>
          </w:p>
        </w:tc>
      </w:tr>
      <w:tr w:rsidR="003319A4" w:rsidRPr="003B3811" w:rsidTr="00A87F5C">
        <w:trPr>
          <w:trHeight w:val="25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Total dépenses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602 066 €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797 628 €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354 056 €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-248 010 €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-41,2%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001</w:t>
            </w:r>
          </w:p>
        </w:tc>
        <w:tc>
          <w:tcPr>
            <w:tcW w:w="45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Résultat reporté d'investissement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241 764 €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241 764 €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241 764 €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021</w:t>
            </w:r>
          </w:p>
        </w:tc>
        <w:tc>
          <w:tcPr>
            <w:tcW w:w="45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Virement de la section de fonctionnement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34 649 €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040</w:t>
            </w:r>
          </w:p>
        </w:tc>
        <w:tc>
          <w:tcPr>
            <w:tcW w:w="45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Opérations d'ordre de transfert entre sections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317 929 €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317 865 €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317 853 €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-76 €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041</w:t>
            </w:r>
          </w:p>
        </w:tc>
        <w:tc>
          <w:tcPr>
            <w:tcW w:w="45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Opérations patrimoniales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168 797 €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2 987 €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2 987 €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13</w:t>
            </w:r>
          </w:p>
        </w:tc>
        <w:tc>
          <w:tcPr>
            <w:tcW w:w="45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Subventions d'investissement reçues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263 786 €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-263 786 €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-100,0%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16</w:t>
            </w:r>
          </w:p>
        </w:tc>
        <w:tc>
          <w:tcPr>
            <w:tcW w:w="45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Emprunts et dettes assimilés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260 000 €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34 553 €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-260 000 €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-100,0%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23</w:t>
            </w:r>
          </w:p>
        </w:tc>
        <w:tc>
          <w:tcPr>
            <w:tcW w:w="45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Immobilisations en cours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2 115 €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-2 115 €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-100,0%</w:t>
            </w:r>
          </w:p>
        </w:tc>
      </w:tr>
      <w:tr w:rsidR="003319A4" w:rsidRPr="003B3811" w:rsidTr="00A87F5C">
        <w:trPr>
          <w:trHeight w:val="25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Total Recettes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843 830 €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797 628 €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562 603 €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-281 226 €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-33,3%</w:t>
            </w:r>
          </w:p>
        </w:tc>
      </w:tr>
    </w:tbl>
    <w:p w:rsidR="00ED4AB4" w:rsidRPr="00E57C78" w:rsidRDefault="00ED4AB4" w:rsidP="0080541E">
      <w:pPr>
        <w:spacing w:after="0" w:line="240" w:lineRule="auto"/>
      </w:pPr>
    </w:p>
    <w:p w:rsidR="003C6FAB" w:rsidRPr="00E57C78" w:rsidRDefault="003C6FAB" w:rsidP="0093096C">
      <w:pPr>
        <w:spacing w:after="200" w:line="276" w:lineRule="auto"/>
      </w:pPr>
    </w:p>
    <w:tbl>
      <w:tblPr>
        <w:tblW w:w="11139" w:type="dxa"/>
        <w:jc w:val="center"/>
        <w:tblInd w:w="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556"/>
        <w:gridCol w:w="1260"/>
        <w:gridCol w:w="1290"/>
        <w:gridCol w:w="1291"/>
        <w:gridCol w:w="1153"/>
        <w:gridCol w:w="959"/>
      </w:tblGrid>
      <w:tr w:rsidR="003319A4" w:rsidRPr="00A87F5C" w:rsidTr="00A87F5C">
        <w:trPr>
          <w:trHeight w:val="255"/>
          <w:jc w:val="center"/>
        </w:trPr>
        <w:tc>
          <w:tcPr>
            <w:tcW w:w="5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Fonctionnement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BUDGETE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EVOLUTION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5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87F5C">
              <w:rPr>
                <w:rFonts w:eastAsia="Times New Roman" w:cstheme="minorHAnsi"/>
                <w:b/>
                <w:bCs/>
                <w:lang w:eastAsia="fr-FR"/>
              </w:rPr>
              <w:t>2020-2019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011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Charges à caractère général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5 051 933 €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5 179 350 €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5 043 848 €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-8 085 €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-0,2%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012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Charges de personnel et frais assimilés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170 446 €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180 135 €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177 644 €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7 198 €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4,2%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014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Atténuations de produits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100 €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023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Virement à la section d'investissement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34 649 €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042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17481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Op</w:t>
            </w:r>
            <w:r w:rsidR="00174811" w:rsidRPr="00A87F5C">
              <w:rPr>
                <w:rFonts w:eastAsia="Times New Roman" w:cstheme="minorHAnsi"/>
                <w:lang w:eastAsia="fr-FR"/>
              </w:rPr>
              <w:t>é</w:t>
            </w:r>
            <w:r w:rsidRPr="00A87F5C">
              <w:rPr>
                <w:rFonts w:eastAsia="Times New Roman" w:cstheme="minorHAnsi"/>
                <w:lang w:eastAsia="fr-FR"/>
              </w:rPr>
              <w:t>rations d'ordre de transfert entre sections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317 929 €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317 865 €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317 853 €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-76 €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65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Autres charges de gestion courante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146 €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5 120 €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50 €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-96 €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-65,9%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66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Charges financières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22 111 €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24 086 €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19 699 €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-2 413 €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-10,9%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67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Charges exceptionnelles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3 000 €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68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Dotations aux amortissements et aux provisions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10 000 €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10 000 €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10 000 €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319A4" w:rsidRPr="003B3811" w:rsidTr="00A87F5C">
        <w:trPr>
          <w:trHeight w:val="2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 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Total Dépenses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5 572 566 €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5 754 305 €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5 569 094 €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-3 472 €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3B3811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-0,1%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002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Résultat reporte de fonctionnement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310 786 €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5 920 €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5 920 €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-304 866 €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-98,1%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013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Atténuations de charges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1 565 €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1 075 €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999 €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-566 €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-36,2%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042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Opérations d'ordre de transfert entre sections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70 818 €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84 636 €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76 636 €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5 818 €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8,2%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73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Impôts et taxes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3 353 019 €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3 000 000 €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3 103 339 €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-249 680 €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-7,5%</w:t>
            </w:r>
          </w:p>
        </w:tc>
      </w:tr>
      <w:tr w:rsidR="00FF4D88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A42EC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74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A42EC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Dotations, subventions et participations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A42EC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87F5C">
              <w:rPr>
                <w:rFonts w:ascii="Calibri" w:hAnsi="Calibri" w:cs="Calibri"/>
              </w:rPr>
              <w:t>1 510 722 €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A42EC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87F5C">
              <w:rPr>
                <w:rFonts w:ascii="Calibri" w:hAnsi="Calibri" w:cs="Calibri"/>
              </w:rPr>
              <w:t>2 392 304 €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A42EC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87F5C">
              <w:rPr>
                <w:rFonts w:ascii="Calibri" w:hAnsi="Calibri" w:cs="Calibri"/>
              </w:rPr>
              <w:t>2 136 732 €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FF4D88" w:rsidP="00A42EC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87F5C">
              <w:rPr>
                <w:rFonts w:ascii="Calibri" w:hAnsi="Calibri" w:cs="Calibri"/>
              </w:rPr>
              <w:t>626 009 €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88" w:rsidRPr="00A87F5C" w:rsidRDefault="00A42EC9" w:rsidP="00A42EC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41,4</w:t>
            </w:r>
            <w:r w:rsidR="00FF4D88" w:rsidRPr="00A87F5C">
              <w:rPr>
                <w:rFonts w:eastAsia="Times New Roman" w:cstheme="minorHAnsi"/>
                <w:lang w:eastAsia="fr-FR"/>
              </w:rPr>
              <w:t>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75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Autres produits de gestion courante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271 206 €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270 370 €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247 155 €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-24 051 €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-8,9%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77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Produits exceptionnels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1 158 €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2 945 €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1 787 €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154,4%</w:t>
            </w:r>
          </w:p>
        </w:tc>
      </w:tr>
      <w:tr w:rsidR="003319A4" w:rsidRPr="00A87F5C" w:rsidTr="00A87F5C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78</w:t>
            </w:r>
          </w:p>
        </w:tc>
        <w:tc>
          <w:tcPr>
            <w:tcW w:w="45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Reprises sur amortissements et provisions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59 212 €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-59 212 €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A87F5C" w:rsidRDefault="003319A4" w:rsidP="003319A4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A87F5C">
              <w:rPr>
                <w:rFonts w:eastAsia="Times New Roman" w:cstheme="minorHAnsi"/>
                <w:lang w:eastAsia="fr-FR"/>
              </w:rPr>
              <w:t>-100,0%</w:t>
            </w:r>
          </w:p>
        </w:tc>
      </w:tr>
      <w:tr w:rsidR="00A42EC9" w:rsidRPr="003B3811" w:rsidTr="00A87F5C">
        <w:trPr>
          <w:trHeight w:val="2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C9" w:rsidRPr="003B3811" w:rsidRDefault="00A42EC9" w:rsidP="003319A4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 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C9" w:rsidRPr="003B3811" w:rsidRDefault="00A42EC9" w:rsidP="003319A4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Total Recettes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C9" w:rsidRPr="003B3811" w:rsidRDefault="00A42EC9" w:rsidP="00A42EC9">
            <w:pPr>
              <w:spacing w:after="0" w:line="240" w:lineRule="auto"/>
              <w:jc w:val="right"/>
              <w:rPr>
                <w:rFonts w:ascii="Calibri" w:hAnsi="Calibri" w:cs="Calibri"/>
                <w:b/>
              </w:rPr>
            </w:pPr>
            <w:r w:rsidRPr="003B3811">
              <w:rPr>
                <w:rFonts w:ascii="Calibri" w:hAnsi="Calibri" w:cs="Calibri"/>
                <w:b/>
              </w:rPr>
              <w:t>5 578 486 €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C9" w:rsidRPr="003B3811" w:rsidRDefault="00A42EC9" w:rsidP="00A42EC9">
            <w:pPr>
              <w:spacing w:after="0" w:line="240" w:lineRule="auto"/>
              <w:jc w:val="right"/>
              <w:rPr>
                <w:rFonts w:ascii="Calibri" w:hAnsi="Calibri" w:cs="Calibri"/>
                <w:b/>
              </w:rPr>
            </w:pPr>
            <w:r w:rsidRPr="003B3811">
              <w:rPr>
                <w:rFonts w:ascii="Calibri" w:hAnsi="Calibri" w:cs="Calibri"/>
                <w:b/>
              </w:rPr>
              <w:t>5 754 305 €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C9" w:rsidRPr="003B3811" w:rsidRDefault="00A42EC9" w:rsidP="00A42EC9">
            <w:pPr>
              <w:spacing w:after="0" w:line="240" w:lineRule="auto"/>
              <w:jc w:val="right"/>
              <w:rPr>
                <w:rFonts w:ascii="Calibri" w:hAnsi="Calibri" w:cs="Calibri"/>
                <w:b/>
              </w:rPr>
            </w:pPr>
            <w:r w:rsidRPr="003B3811">
              <w:rPr>
                <w:rFonts w:ascii="Calibri" w:hAnsi="Calibri" w:cs="Calibri"/>
                <w:b/>
              </w:rPr>
              <w:t>5 573 725 €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C9" w:rsidRPr="003B3811" w:rsidRDefault="00A42EC9" w:rsidP="00A42EC9">
            <w:pPr>
              <w:spacing w:after="0" w:line="240" w:lineRule="auto"/>
              <w:jc w:val="right"/>
              <w:rPr>
                <w:rFonts w:ascii="Calibri" w:hAnsi="Calibri" w:cs="Calibri"/>
                <w:b/>
              </w:rPr>
            </w:pPr>
            <w:r w:rsidRPr="003B3811">
              <w:rPr>
                <w:rFonts w:ascii="Calibri" w:hAnsi="Calibri" w:cs="Calibri"/>
                <w:b/>
              </w:rPr>
              <w:t>-4 761 €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C9" w:rsidRPr="003B3811" w:rsidRDefault="00A42EC9" w:rsidP="00830CB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3B3811">
              <w:rPr>
                <w:rFonts w:eastAsia="Times New Roman" w:cstheme="minorHAnsi"/>
                <w:b/>
                <w:lang w:eastAsia="fr-FR"/>
              </w:rPr>
              <w:t>-0,1%</w:t>
            </w:r>
          </w:p>
        </w:tc>
      </w:tr>
    </w:tbl>
    <w:p w:rsidR="00170025" w:rsidRDefault="00170025">
      <w:pPr>
        <w:spacing w:after="200" w:line="276" w:lineRule="auto"/>
      </w:pPr>
      <w:r>
        <w:br w:type="page"/>
      </w:r>
    </w:p>
    <w:p w:rsidR="00CF6595" w:rsidRDefault="00CF6595" w:rsidP="00875C2B">
      <w:pPr>
        <w:pStyle w:val="Titre3"/>
      </w:pPr>
      <w:bookmarkStart w:id="61" w:name="_Toc74317357"/>
      <w:r>
        <w:lastRenderedPageBreak/>
        <w:t>L’analyse</w:t>
      </w:r>
      <w:bookmarkEnd w:id="61"/>
    </w:p>
    <w:p w:rsidR="00170025" w:rsidRPr="00F763B7" w:rsidRDefault="00170025" w:rsidP="0093096C">
      <w:pPr>
        <w:spacing w:after="200" w:line="276" w:lineRule="auto"/>
      </w:pPr>
      <w:r w:rsidRPr="00F763B7">
        <w:t xml:space="preserve">Les éléments à noter sur l’exécution </w:t>
      </w:r>
      <w:r w:rsidR="00E45BAF">
        <w:t>de ce</w:t>
      </w:r>
      <w:r w:rsidRPr="00F763B7">
        <w:t xml:space="preserve"> budget </w:t>
      </w:r>
      <w:r w:rsidR="00E45BAF">
        <w:t xml:space="preserve">en </w:t>
      </w:r>
      <w:r w:rsidRPr="00F763B7">
        <w:t>2020 sont :</w:t>
      </w:r>
    </w:p>
    <w:p w:rsidR="00E7550E" w:rsidRPr="0093096C" w:rsidRDefault="00E7550E" w:rsidP="00E45BAF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F04435">
        <w:t xml:space="preserve">Le </w:t>
      </w:r>
      <w:r w:rsidR="00E45BAF">
        <w:t>V</w:t>
      </w:r>
      <w:r w:rsidRPr="00F04435">
        <w:t xml:space="preserve">ersement </w:t>
      </w:r>
      <w:r w:rsidR="00E45BAF">
        <w:t>Mobilité (VM)</w:t>
      </w:r>
      <w:r w:rsidRPr="00F04435">
        <w:t xml:space="preserve"> encaissé en 20</w:t>
      </w:r>
      <w:r w:rsidR="00E57C78" w:rsidRPr="00F04435">
        <w:t>20</w:t>
      </w:r>
      <w:r w:rsidRPr="00F04435">
        <w:t xml:space="preserve"> pour 3 </w:t>
      </w:r>
      <w:r w:rsidR="00F04435" w:rsidRPr="00F04435">
        <w:t>103</w:t>
      </w:r>
      <w:r w:rsidRPr="00F04435">
        <w:t xml:space="preserve"> K€ contre 3</w:t>
      </w:r>
      <w:r w:rsidR="00E57C78" w:rsidRPr="00F04435">
        <w:t xml:space="preserve"> 353 </w:t>
      </w:r>
      <w:r w:rsidRPr="00F04435">
        <w:t>K€ en 201</w:t>
      </w:r>
      <w:r w:rsidR="00E57C78" w:rsidRPr="00F04435">
        <w:t>9 soit une baisse de -7,4%</w:t>
      </w:r>
      <w:r w:rsidR="00217500">
        <w:t xml:space="preserve">. </w:t>
      </w:r>
      <w:r w:rsidR="00217500" w:rsidRPr="0093096C">
        <w:t xml:space="preserve">Pour les périodes </w:t>
      </w:r>
      <w:proofErr w:type="spellStart"/>
      <w:r w:rsidR="00217500" w:rsidRPr="0093096C">
        <w:t>Covid</w:t>
      </w:r>
      <w:proofErr w:type="spellEnd"/>
      <w:r w:rsidR="00217500" w:rsidRPr="0093096C">
        <w:t xml:space="preserve"> de l'année 2020, à taux Versement Mobilité (VM), périmètre géographique et structure de cotisants constants, les évolutions constatées sont principalement dues à la baisse de la masse salariale assujettie au VM du fait du recours des entreprises aux dispositifs d’activité partielle ou d’arrêt travail pour garde d’enfant en période de confinement</w:t>
      </w:r>
      <w:r w:rsidR="00DE49CD">
        <w:t xml:space="preserve"> </w:t>
      </w:r>
      <w:r w:rsidR="00217500" w:rsidRPr="0093096C">
        <w:t>;</w:t>
      </w:r>
    </w:p>
    <w:p w:rsidR="00DE49CD" w:rsidRDefault="00E7550E" w:rsidP="00DE49CD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</w:pPr>
      <w:r w:rsidRPr="00F04435">
        <w:t xml:space="preserve">Une </w:t>
      </w:r>
      <w:r w:rsidR="00A4337A">
        <w:t>compensation</w:t>
      </w:r>
      <w:r w:rsidRPr="00F04435">
        <w:t xml:space="preserve"> </w:t>
      </w:r>
      <w:r w:rsidR="000E1CBD">
        <w:t>de la Région</w:t>
      </w:r>
      <w:r w:rsidRPr="00F04435">
        <w:t xml:space="preserve"> pour le transfert </w:t>
      </w:r>
      <w:r w:rsidR="00A4337A">
        <w:t xml:space="preserve">de charges </w:t>
      </w:r>
      <w:r w:rsidRPr="00F04435">
        <w:t>de la co</w:t>
      </w:r>
      <w:r w:rsidR="00DE49CD">
        <w:t>mpétence transport de 1 </w:t>
      </w:r>
      <w:r w:rsidR="000E1CBD">
        <w:t>051</w:t>
      </w:r>
      <w:r w:rsidR="00DE49CD">
        <w:t xml:space="preserve"> K€ :</w:t>
      </w:r>
    </w:p>
    <w:p w:rsidR="00DE49CD" w:rsidRDefault="00E7550E" w:rsidP="00DE49CD">
      <w:pPr>
        <w:pStyle w:val="Paragraphedeliste"/>
        <w:numPr>
          <w:ilvl w:val="0"/>
          <w:numId w:val="15"/>
        </w:numPr>
        <w:spacing w:after="0" w:line="240" w:lineRule="auto"/>
        <w:ind w:left="1843" w:hanging="357"/>
        <w:contextualSpacing w:val="0"/>
        <w:jc w:val="both"/>
      </w:pPr>
      <w:r w:rsidRPr="00F04435">
        <w:t>786 K€  pour le périmètre de l’ex CAPR</w:t>
      </w:r>
      <w:r w:rsidR="00DE49CD">
        <w:t xml:space="preserve"> </w:t>
      </w:r>
    </w:p>
    <w:p w:rsidR="00DE49CD" w:rsidRDefault="00E7550E" w:rsidP="00DE49CD">
      <w:pPr>
        <w:pStyle w:val="Paragraphedeliste"/>
        <w:numPr>
          <w:ilvl w:val="0"/>
          <w:numId w:val="15"/>
        </w:numPr>
        <w:spacing w:after="0" w:line="240" w:lineRule="auto"/>
        <w:ind w:left="1843" w:hanging="357"/>
        <w:contextualSpacing w:val="0"/>
        <w:jc w:val="both"/>
      </w:pPr>
      <w:r w:rsidRPr="00F04435">
        <w:t>264 K€ pour le périmètre de l’ex CDC Sud Charente</w:t>
      </w:r>
    </w:p>
    <w:p w:rsidR="000E1CBD" w:rsidRDefault="000E1CBD" w:rsidP="000E1CBD">
      <w:pPr>
        <w:pStyle w:val="Paragraphedeliste"/>
        <w:spacing w:after="0" w:line="240" w:lineRule="auto"/>
        <w:ind w:left="1843"/>
        <w:contextualSpacing w:val="0"/>
        <w:jc w:val="both"/>
      </w:pPr>
    </w:p>
    <w:p w:rsidR="00E7550E" w:rsidRDefault="006D260C" w:rsidP="000E1CBD">
      <w:pPr>
        <w:pStyle w:val="Paragraphedeliste"/>
        <w:numPr>
          <w:ilvl w:val="0"/>
          <w:numId w:val="4"/>
        </w:numPr>
        <w:spacing w:after="240" w:line="240" w:lineRule="auto"/>
        <w:jc w:val="both"/>
      </w:pPr>
      <w:r w:rsidRPr="00F04435">
        <w:t>2</w:t>
      </w:r>
      <w:r w:rsidR="000E1CBD">
        <w:t>29</w:t>
      </w:r>
      <w:r w:rsidRPr="00F04435">
        <w:t xml:space="preserve"> K€</w:t>
      </w:r>
      <w:r w:rsidR="00DE49CD">
        <w:t xml:space="preserve"> de Dotation </w:t>
      </w:r>
      <w:r w:rsidR="000E1CBD">
        <w:t xml:space="preserve">de l’Etat </w:t>
      </w:r>
      <w:r w:rsidR="0079209C" w:rsidRPr="00F04435">
        <w:t>destinée à compenser les dépenses de transports scolaires</w:t>
      </w:r>
      <w:r w:rsidR="00E7550E" w:rsidRPr="00F04435">
        <w:t xml:space="preserve"> ;</w:t>
      </w:r>
    </w:p>
    <w:p w:rsidR="000E1CBD" w:rsidRPr="00F04435" w:rsidRDefault="000E1CBD" w:rsidP="000E1CBD">
      <w:pPr>
        <w:pStyle w:val="Paragraphedeliste"/>
        <w:spacing w:after="240" w:line="240" w:lineRule="auto"/>
        <w:jc w:val="both"/>
      </w:pPr>
    </w:p>
    <w:p w:rsidR="00E7550E" w:rsidRPr="00F04435" w:rsidRDefault="00D37C01" w:rsidP="00E45BAF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F04435">
        <w:t>La</w:t>
      </w:r>
      <w:r w:rsidR="00E7550E" w:rsidRPr="00F04435">
        <w:t xml:space="preserve"> dépense liée à la Délég</w:t>
      </w:r>
      <w:r w:rsidR="00DE49CD">
        <w:t>ation de Service Public pour</w:t>
      </w:r>
      <w:r w:rsidR="00E7550E" w:rsidRPr="00F04435">
        <w:t xml:space="preserve"> 4 </w:t>
      </w:r>
      <w:r w:rsidR="00F04435" w:rsidRPr="00F04435">
        <w:t>952</w:t>
      </w:r>
      <w:r w:rsidR="00E7550E" w:rsidRPr="00F04435">
        <w:t>K€ contre 4</w:t>
      </w:r>
      <w:r w:rsidR="00F04435" w:rsidRPr="00F04435">
        <w:t> 960</w:t>
      </w:r>
      <w:r w:rsidR="00E7550E" w:rsidRPr="00F04435">
        <w:t>K€ en</w:t>
      </w:r>
      <w:r w:rsidR="009C2011" w:rsidRPr="00F04435">
        <w:t xml:space="preserve"> 20</w:t>
      </w:r>
      <w:r w:rsidR="00F04435" w:rsidRPr="00F04435">
        <w:t>19 ;</w:t>
      </w:r>
    </w:p>
    <w:p w:rsidR="00E7550E" w:rsidRPr="00217500" w:rsidRDefault="00E7550E" w:rsidP="00E45BAF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217500">
        <w:t xml:space="preserve">Une subvention d’équilibre du budget principal de </w:t>
      </w:r>
      <w:r w:rsidR="00F04435" w:rsidRPr="00217500">
        <w:t>857</w:t>
      </w:r>
      <w:r w:rsidRPr="00217500">
        <w:t xml:space="preserve"> K</w:t>
      </w:r>
      <w:r w:rsidR="009C2011" w:rsidRPr="00217500">
        <w:t>€</w:t>
      </w:r>
      <w:r w:rsidRPr="00217500">
        <w:t xml:space="preserve"> en 20</w:t>
      </w:r>
      <w:r w:rsidR="00F04435" w:rsidRPr="00217500">
        <w:t>20</w:t>
      </w:r>
      <w:r w:rsidR="000C0643" w:rsidRPr="00217500">
        <w:t>.</w:t>
      </w:r>
    </w:p>
    <w:p w:rsidR="00E7550E" w:rsidRPr="003319A4" w:rsidRDefault="00E7550E" w:rsidP="00DE49CD">
      <w:pPr>
        <w:pStyle w:val="Paragraphedeliste"/>
        <w:numPr>
          <w:ilvl w:val="0"/>
          <w:numId w:val="4"/>
        </w:numPr>
        <w:spacing w:after="0"/>
        <w:ind w:left="714" w:hanging="357"/>
        <w:contextualSpacing w:val="0"/>
        <w:jc w:val="both"/>
      </w:pPr>
      <w:r w:rsidRPr="003319A4">
        <w:t xml:space="preserve">Des dépenses d’équipement réalisées à hauteur de </w:t>
      </w:r>
      <w:r w:rsidR="003319A4" w:rsidRPr="003319A4">
        <w:t>151</w:t>
      </w:r>
      <w:r w:rsidRPr="003319A4">
        <w:t xml:space="preserve"> K€ :</w:t>
      </w:r>
    </w:p>
    <w:tbl>
      <w:tblPr>
        <w:tblW w:w="7747" w:type="dxa"/>
        <w:jc w:val="center"/>
        <w:tblInd w:w="-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2"/>
        <w:gridCol w:w="1628"/>
        <w:gridCol w:w="1787"/>
      </w:tblGrid>
      <w:tr w:rsidR="003319A4" w:rsidRPr="002E05C9" w:rsidTr="00DE49CD">
        <w:trPr>
          <w:trHeight w:val="300"/>
          <w:jc w:val="center"/>
        </w:trPr>
        <w:tc>
          <w:tcPr>
            <w:tcW w:w="433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Mandaté 2020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Reports de 2020</w:t>
            </w:r>
          </w:p>
        </w:tc>
      </w:tr>
      <w:tr w:rsidR="003319A4" w:rsidRPr="002E05C9" w:rsidTr="00DE49CD">
        <w:trPr>
          <w:trHeight w:val="300"/>
          <w:jc w:val="center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 xml:space="preserve">Travaux accessibilité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109 179 €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90 718 €</w:t>
            </w:r>
          </w:p>
        </w:tc>
      </w:tr>
      <w:tr w:rsidR="003319A4" w:rsidRPr="002E05C9" w:rsidTr="00DE49CD">
        <w:trPr>
          <w:trHeight w:val="300"/>
          <w:jc w:val="center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Mobilier urbain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17 190 €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1 285 €</w:t>
            </w:r>
          </w:p>
        </w:tc>
      </w:tr>
      <w:tr w:rsidR="003319A4" w:rsidRPr="002E05C9" w:rsidTr="00DE49CD">
        <w:trPr>
          <w:trHeight w:val="300"/>
          <w:jc w:val="center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Travaux sécurisation des arrêts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17 149 €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16 046 €</w:t>
            </w:r>
          </w:p>
        </w:tc>
      </w:tr>
      <w:tr w:rsidR="003319A4" w:rsidRPr="002E05C9" w:rsidTr="00DE49CD">
        <w:trPr>
          <w:trHeight w:val="300"/>
          <w:jc w:val="center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Gare SNCF - services vélos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2 664 €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2 242 €</w:t>
            </w:r>
          </w:p>
        </w:tc>
      </w:tr>
      <w:tr w:rsidR="003319A4" w:rsidRPr="002E05C9" w:rsidTr="00DE49CD">
        <w:trPr>
          <w:trHeight w:val="300"/>
          <w:jc w:val="center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Sanitaires bout de ligne Tonnay-Charente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2 108 €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35 038 €</w:t>
            </w:r>
          </w:p>
        </w:tc>
      </w:tr>
      <w:tr w:rsidR="003319A4" w:rsidRPr="002E05C9" w:rsidTr="00DE49CD">
        <w:trPr>
          <w:trHeight w:val="300"/>
          <w:jc w:val="center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 xml:space="preserve">Sanitaires bout de ligne </w:t>
            </w:r>
            <w:proofErr w:type="spellStart"/>
            <w:r w:rsidRPr="002E05C9">
              <w:rPr>
                <w:rFonts w:ascii="Calibri" w:eastAsia="Times New Roman" w:hAnsi="Calibri" w:cs="Calibri"/>
                <w:lang w:eastAsia="fr-FR"/>
              </w:rPr>
              <w:t>St-Agnant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1 590 €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38 513 €</w:t>
            </w:r>
          </w:p>
        </w:tc>
      </w:tr>
      <w:tr w:rsidR="003319A4" w:rsidRPr="002E05C9" w:rsidTr="00DE49CD">
        <w:trPr>
          <w:trHeight w:val="300"/>
          <w:jc w:val="center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Boutique R bus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1 150 €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</w:tr>
      <w:tr w:rsidR="003319A4" w:rsidRPr="002E05C9" w:rsidTr="00DE49CD">
        <w:trPr>
          <w:trHeight w:val="300"/>
          <w:jc w:val="center"/>
        </w:trPr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151 028 €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9A4" w:rsidRPr="002E05C9" w:rsidRDefault="003319A4" w:rsidP="00331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183 841 €</w:t>
            </w:r>
          </w:p>
        </w:tc>
      </w:tr>
    </w:tbl>
    <w:p w:rsidR="00F81E47" w:rsidRDefault="00F81E47">
      <w:pPr>
        <w:spacing w:after="200" w:line="276" w:lineRule="auto"/>
        <w:rPr>
          <w:rFonts w:eastAsiaTheme="majorEastAsia" w:cstheme="majorBidi"/>
          <w:b/>
          <w:bCs/>
          <w:color w:val="4F81BD" w:themeColor="accent1"/>
          <w:sz w:val="24"/>
        </w:rPr>
      </w:pPr>
      <w:r>
        <w:br w:type="page"/>
      </w:r>
    </w:p>
    <w:p w:rsidR="0091218C" w:rsidRPr="00FE2C27" w:rsidRDefault="0091218C" w:rsidP="00875C2B">
      <w:pPr>
        <w:pStyle w:val="Titre3"/>
      </w:pPr>
      <w:bookmarkStart w:id="62" w:name="_Toc74317358"/>
      <w:r w:rsidRPr="00FE2C27">
        <w:lastRenderedPageBreak/>
        <w:t>Le résultat 20</w:t>
      </w:r>
      <w:r w:rsidR="00FE2C27" w:rsidRPr="00FE2C27">
        <w:t>20</w:t>
      </w:r>
      <w:r w:rsidRPr="00FE2C27">
        <w:t xml:space="preserve"> et son affectation</w:t>
      </w:r>
      <w:bookmarkEnd w:id="62"/>
    </w:p>
    <w:tbl>
      <w:tblPr>
        <w:tblW w:w="78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6"/>
        <w:gridCol w:w="799"/>
        <w:gridCol w:w="1556"/>
      </w:tblGrid>
      <w:tr w:rsidR="00FE2C27" w:rsidRPr="002E05C9" w:rsidTr="003319A4">
        <w:trPr>
          <w:trHeight w:val="300"/>
          <w:jc w:val="center"/>
        </w:trPr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AFFECTATION DU RESULTAT DE FONCTIONNEMENT 2020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FONCTIONNEMENT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5 919,89 €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E2C27" w:rsidRPr="002E05C9" w:rsidRDefault="00FE2C27" w:rsidP="002E05C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-1 288,89 €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2E05C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= Résultat à affecter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4 631,00 €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INVESTISSEMENT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241 763,65 €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E2C27" w:rsidRPr="002E05C9" w:rsidRDefault="00FE2C27" w:rsidP="002E05C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-33 216,62 €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= Résultat cumulé à reporter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 001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208 547,03 €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Solde des restes à réaliser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-183 841,35 €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9A0474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= de financement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24 705,68 €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AFFECTATION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Couverture du besoin de financement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 1068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2E05C9" w:rsidRDefault="00626240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0,00</w:t>
            </w:r>
            <w:r w:rsidR="00FE2C27" w:rsidRPr="002E05C9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Excédent de fonctionnement restant à reporter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 002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2E05C9" w:rsidRDefault="00626240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4 631,00</w:t>
            </w:r>
            <w:r w:rsidR="00FE2C27" w:rsidRPr="002E05C9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Solde des restes à réaliser de fonctionnement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-4 631,00 €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RESULTAT GLOBAL 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24 705,68 €</w:t>
            </w:r>
          </w:p>
        </w:tc>
      </w:tr>
    </w:tbl>
    <w:p w:rsidR="00F81E47" w:rsidRDefault="00F81E47" w:rsidP="00F81E47"/>
    <w:p w:rsidR="00F81E47" w:rsidRDefault="00F81E47">
      <w:pPr>
        <w:spacing w:after="200" w:line="276" w:lineRule="auto"/>
        <w:rPr>
          <w:rFonts w:eastAsiaTheme="majorEastAsia" w:cstheme="majorBidi"/>
          <w:b/>
          <w:bCs/>
          <w:color w:val="4F81BD" w:themeColor="accent1"/>
          <w:sz w:val="28"/>
          <w:szCs w:val="26"/>
        </w:rPr>
      </w:pPr>
      <w:r>
        <w:br w:type="page"/>
      </w:r>
    </w:p>
    <w:p w:rsidR="0080541E" w:rsidRDefault="0080541E" w:rsidP="0080541E">
      <w:pPr>
        <w:pStyle w:val="Titre2"/>
      </w:pPr>
      <w:bookmarkStart w:id="63" w:name="_Toc74317359"/>
      <w:r>
        <w:lastRenderedPageBreak/>
        <w:t>PLIE</w:t>
      </w:r>
      <w:bookmarkEnd w:id="63"/>
    </w:p>
    <w:p w:rsidR="00CB42FF" w:rsidRPr="00FE2C27" w:rsidRDefault="00CB42FF" w:rsidP="0093096C">
      <w:pPr>
        <w:spacing w:after="200" w:line="276" w:lineRule="auto"/>
      </w:pPr>
      <w:r w:rsidRPr="00FE2C27">
        <w:t>Les opérations réalisées en 20</w:t>
      </w:r>
      <w:r w:rsidR="00FE2C27" w:rsidRPr="00FE2C27">
        <w:t>20</w:t>
      </w:r>
      <w:r w:rsidRPr="00FE2C27">
        <w:t xml:space="preserve"> sur le budget annexe du Plie sont présentées ci-dessous :</w:t>
      </w:r>
    </w:p>
    <w:tbl>
      <w:tblPr>
        <w:tblW w:w="1046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753"/>
        <w:gridCol w:w="1308"/>
        <w:gridCol w:w="1308"/>
        <w:gridCol w:w="1308"/>
        <w:gridCol w:w="1208"/>
        <w:gridCol w:w="997"/>
      </w:tblGrid>
      <w:tr w:rsidR="00F7599F" w:rsidRPr="002E05C9" w:rsidTr="00F7599F">
        <w:trPr>
          <w:trHeight w:val="255"/>
          <w:jc w:val="center"/>
        </w:trPr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7599F" w:rsidRPr="002E05C9" w:rsidRDefault="00174811" w:rsidP="00A64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Fonctionnement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BUDGETE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EVOLUTION</w:t>
            </w:r>
          </w:p>
        </w:tc>
      </w:tr>
      <w:tr w:rsidR="00F7599F" w:rsidRPr="002E05C9" w:rsidTr="00F7599F">
        <w:trPr>
          <w:trHeight w:val="255"/>
          <w:jc w:val="center"/>
        </w:trPr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7599F" w:rsidRPr="002E05C9" w:rsidRDefault="00F7599F" w:rsidP="00A644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2020-2019</w:t>
            </w:r>
          </w:p>
        </w:tc>
      </w:tr>
      <w:tr w:rsidR="00F7599F" w:rsidRPr="002E05C9" w:rsidTr="00F7599F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002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Résultat reporte de fonctionnement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878 921 €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1 137 642 €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1 137 642 €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258 722 €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29,4%</w:t>
            </w:r>
          </w:p>
        </w:tc>
      </w:tr>
      <w:tr w:rsidR="00F7599F" w:rsidRPr="002E05C9" w:rsidTr="00F7599F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011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Charges à caractère général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30 114 €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91 608 €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23 944 €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-6 170 €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-20,5%</w:t>
            </w:r>
          </w:p>
        </w:tc>
      </w:tr>
      <w:tr w:rsidR="00F7599F" w:rsidRPr="002E05C9" w:rsidTr="00F7599F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012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Charges de personnel et frais assimilés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197 631 €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224 880 €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219 523 €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21 892 €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11,1%</w:t>
            </w:r>
          </w:p>
        </w:tc>
      </w:tr>
      <w:tr w:rsidR="00F7599F" w:rsidRPr="002E05C9" w:rsidTr="00F7599F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65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Autres charges de gestion courante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1 514 828 €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2 288 922 €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980 941 €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-533 887 €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-35,2%</w:t>
            </w:r>
          </w:p>
        </w:tc>
      </w:tr>
      <w:tr w:rsidR="00F7599F" w:rsidRPr="002E05C9" w:rsidTr="00F7599F">
        <w:trPr>
          <w:trHeight w:val="2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Total Dépenses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2 621 494 €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3 743 052 €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2 362 050 €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-259 444 €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-9,9%</w:t>
            </w:r>
          </w:p>
        </w:tc>
      </w:tr>
      <w:tr w:rsidR="00F7599F" w:rsidRPr="002E05C9" w:rsidTr="00F7599F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013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Atténuations de charges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2 026 €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7 584 €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9 857 €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7 831 €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386,6%</w:t>
            </w:r>
          </w:p>
        </w:tc>
      </w:tr>
      <w:tr w:rsidR="00F7599F" w:rsidRPr="002E05C9" w:rsidTr="00F7599F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74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Dotations, subventions et participations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1 380 221 €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3 633 543 €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1 583 407 €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203 186 €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A6448D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14,7%</w:t>
            </w:r>
          </w:p>
        </w:tc>
      </w:tr>
      <w:tr w:rsidR="004C1793" w:rsidRPr="002E05C9" w:rsidTr="00F7599F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93" w:rsidRPr="002E05C9" w:rsidRDefault="004C1793" w:rsidP="004C179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75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3" w:rsidRPr="002E05C9" w:rsidRDefault="004C1793" w:rsidP="004C179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Autres produits de gestion courante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3" w:rsidRPr="002E05C9" w:rsidRDefault="004C1793" w:rsidP="004C1793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101 604 €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3" w:rsidRPr="002E05C9" w:rsidRDefault="004C1793" w:rsidP="004C1793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101 925 €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3" w:rsidRPr="002E05C9" w:rsidRDefault="004C1793" w:rsidP="004C1793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31 415 €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3" w:rsidRPr="002E05C9" w:rsidRDefault="004C1793" w:rsidP="004C1793">
            <w:pPr>
              <w:spacing w:after="0" w:line="240" w:lineRule="auto"/>
              <w:jc w:val="right"/>
              <w:rPr>
                <w:rFonts w:cstheme="minorHAnsi"/>
              </w:rPr>
            </w:pPr>
            <w:r w:rsidRPr="002E05C9">
              <w:rPr>
                <w:rFonts w:cstheme="minorHAnsi"/>
              </w:rPr>
              <w:t>-70 189 €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3" w:rsidRPr="002E05C9" w:rsidRDefault="004C1793" w:rsidP="004C1793">
            <w:pPr>
              <w:spacing w:after="0" w:line="240" w:lineRule="auto"/>
              <w:jc w:val="right"/>
              <w:rPr>
                <w:rFonts w:cstheme="minorHAnsi"/>
              </w:rPr>
            </w:pPr>
            <w:r w:rsidRPr="002E05C9">
              <w:rPr>
                <w:rFonts w:cstheme="minorHAnsi"/>
              </w:rPr>
              <w:t>-69,1%</w:t>
            </w:r>
          </w:p>
        </w:tc>
      </w:tr>
      <w:tr w:rsidR="00F7599F" w:rsidRPr="002E05C9" w:rsidTr="00F7599F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4C179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77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4C179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Produits exceptionnels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4C1793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4C1793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4C1793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219 €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4C1793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219 €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F" w:rsidRPr="002E05C9" w:rsidRDefault="00F7599F" w:rsidP="004C1793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4C1793" w:rsidRPr="002E05C9" w:rsidTr="00F7599F">
        <w:trPr>
          <w:trHeight w:val="2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793" w:rsidRPr="002E05C9" w:rsidRDefault="004C1793" w:rsidP="004C179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3" w:rsidRPr="002E05C9" w:rsidRDefault="004C1793" w:rsidP="004C179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Total Recettes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3" w:rsidRPr="002E05C9" w:rsidRDefault="004C1793" w:rsidP="004C1793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1 483 851 €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3" w:rsidRPr="002E05C9" w:rsidRDefault="004C1793" w:rsidP="004C1793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3 743 052 €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3" w:rsidRPr="002E05C9" w:rsidRDefault="004C1793" w:rsidP="004C1793">
            <w:pPr>
              <w:spacing w:after="0" w:line="240" w:lineRule="auto"/>
              <w:jc w:val="right"/>
              <w:rPr>
                <w:rFonts w:cstheme="minorHAnsi"/>
              </w:rPr>
            </w:pPr>
            <w:r w:rsidRPr="002E05C9">
              <w:rPr>
                <w:rFonts w:cstheme="minorHAnsi"/>
              </w:rPr>
              <w:t>1 624 899 €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3" w:rsidRPr="002E05C9" w:rsidRDefault="004C1793" w:rsidP="004C1793">
            <w:pPr>
              <w:spacing w:after="0" w:line="240" w:lineRule="auto"/>
              <w:jc w:val="right"/>
              <w:rPr>
                <w:rFonts w:cstheme="minorHAnsi"/>
              </w:rPr>
            </w:pPr>
            <w:r w:rsidRPr="002E05C9">
              <w:rPr>
                <w:rFonts w:cstheme="minorHAnsi"/>
              </w:rPr>
              <w:t>141 047 €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3" w:rsidRPr="002E05C9" w:rsidRDefault="004C1793" w:rsidP="004C1793">
            <w:pPr>
              <w:spacing w:after="0" w:line="240" w:lineRule="auto"/>
              <w:jc w:val="right"/>
              <w:rPr>
                <w:rFonts w:cstheme="minorHAnsi"/>
              </w:rPr>
            </w:pPr>
            <w:r w:rsidRPr="002E05C9">
              <w:rPr>
                <w:rFonts w:cstheme="minorHAnsi"/>
              </w:rPr>
              <w:t>9,5%</w:t>
            </w:r>
          </w:p>
        </w:tc>
      </w:tr>
    </w:tbl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B077B0" w:rsidRDefault="00B077B0" w:rsidP="00B077B0">
      <w:pPr>
        <w:spacing w:after="0" w:line="240" w:lineRule="auto"/>
      </w:pPr>
    </w:p>
    <w:p w:rsidR="00CF6595" w:rsidRDefault="00CF6595" w:rsidP="00875C2B">
      <w:pPr>
        <w:pStyle w:val="Titre3"/>
      </w:pPr>
      <w:bookmarkStart w:id="64" w:name="_Toc74317360"/>
      <w:r>
        <w:t>L’analyse</w:t>
      </w:r>
      <w:bookmarkEnd w:id="64"/>
    </w:p>
    <w:p w:rsidR="00170025" w:rsidRPr="00F763B7" w:rsidRDefault="00170025" w:rsidP="0093096C">
      <w:pPr>
        <w:spacing w:after="200" w:line="276" w:lineRule="auto"/>
      </w:pPr>
      <w:r w:rsidRPr="00F763B7">
        <w:t>Les éléments à noter sur l’exécution du budget 2020 sont :</w:t>
      </w:r>
    </w:p>
    <w:p w:rsidR="004B4BC8" w:rsidRPr="00F7599F" w:rsidRDefault="00F7599F" w:rsidP="004F36D9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F7599F">
        <w:t xml:space="preserve">980 </w:t>
      </w:r>
      <w:r w:rsidR="004B4BC8" w:rsidRPr="00F7599F">
        <w:t xml:space="preserve">K€ </w:t>
      </w:r>
      <w:r w:rsidR="004F36D9">
        <w:t>de</w:t>
      </w:r>
      <w:r w:rsidR="004B4BC8" w:rsidRPr="00F7599F">
        <w:t xml:space="preserve"> subventions </w:t>
      </w:r>
      <w:r w:rsidR="004F36D9">
        <w:t xml:space="preserve">ont été </w:t>
      </w:r>
      <w:r w:rsidR="004B4BC8" w:rsidRPr="00F7599F">
        <w:t>payées par la CARO en 20</w:t>
      </w:r>
      <w:r w:rsidRPr="00F7599F">
        <w:t>20</w:t>
      </w:r>
      <w:r w:rsidR="004B4BC8" w:rsidRPr="00F7599F">
        <w:t xml:space="preserve">, contre </w:t>
      </w:r>
      <w:r w:rsidRPr="00F7599F">
        <w:t xml:space="preserve">1 515 </w:t>
      </w:r>
      <w:r w:rsidR="004B4BC8" w:rsidRPr="00F7599F">
        <w:t>K€ en 20</w:t>
      </w:r>
      <w:r w:rsidR="00465C26">
        <w:t>19</w:t>
      </w:r>
      <w:r w:rsidR="004B4BC8" w:rsidRPr="00F7599F">
        <w:t xml:space="preserve"> ; </w:t>
      </w:r>
    </w:p>
    <w:p w:rsidR="004B4BC8" w:rsidRPr="004C1793" w:rsidRDefault="004B4BC8" w:rsidP="004F36D9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4C1793">
        <w:t xml:space="preserve">Une subvention d’équilibre du budget principal nécessaire de </w:t>
      </w:r>
      <w:r w:rsidR="00F7599F" w:rsidRPr="004C1793">
        <w:t>31</w:t>
      </w:r>
      <w:r w:rsidR="00465C26">
        <w:t xml:space="preserve"> </w:t>
      </w:r>
      <w:r w:rsidRPr="004C1793">
        <w:t>K€</w:t>
      </w:r>
      <w:r w:rsidR="004F36D9">
        <w:t xml:space="preserve"> </w:t>
      </w:r>
      <w:r w:rsidRPr="004C1793">
        <w:t>;</w:t>
      </w:r>
    </w:p>
    <w:p w:rsidR="004B4BC8" w:rsidRDefault="004B4BC8" w:rsidP="004F36D9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F7599F">
        <w:t>Un remboursement de 7</w:t>
      </w:r>
      <w:r w:rsidR="00F7599F" w:rsidRPr="00F7599F">
        <w:t>8</w:t>
      </w:r>
      <w:r w:rsidRPr="00F7599F">
        <w:t xml:space="preserve"> K€ de la CDA de La Rochelle pour </w:t>
      </w:r>
      <w:r w:rsidR="004F36D9">
        <w:t xml:space="preserve">financer </w:t>
      </w:r>
      <w:r w:rsidRPr="00F7599F">
        <w:t>la gestion administrative de l’OI Pivot.</w:t>
      </w:r>
    </w:p>
    <w:p w:rsidR="004F36D9" w:rsidRPr="00F7599F" w:rsidRDefault="004F36D9" w:rsidP="004F36D9">
      <w:pPr>
        <w:pStyle w:val="Paragraphedeliste"/>
        <w:spacing w:after="200" w:line="276" w:lineRule="auto"/>
        <w:jc w:val="both"/>
      </w:pPr>
    </w:p>
    <w:p w:rsidR="00B077B0" w:rsidRDefault="00B077B0">
      <w:pPr>
        <w:spacing w:after="200" w:line="276" w:lineRule="auto"/>
        <w:rPr>
          <w:rFonts w:eastAsiaTheme="majorEastAsia" w:cstheme="majorBidi"/>
          <w:b/>
          <w:bCs/>
          <w:color w:val="4F81BD" w:themeColor="accent1"/>
          <w:sz w:val="24"/>
        </w:rPr>
      </w:pPr>
      <w:r>
        <w:br w:type="page"/>
      </w:r>
    </w:p>
    <w:p w:rsidR="0015328E" w:rsidRPr="00FE2C27" w:rsidRDefault="0091218C" w:rsidP="00875C2B">
      <w:pPr>
        <w:pStyle w:val="Titre3"/>
      </w:pPr>
      <w:bookmarkStart w:id="65" w:name="_Toc74317361"/>
      <w:r w:rsidRPr="00FE2C27">
        <w:lastRenderedPageBreak/>
        <w:t>Le résultat 20</w:t>
      </w:r>
      <w:r w:rsidR="00FE2C27" w:rsidRPr="00FE2C27">
        <w:t>20</w:t>
      </w:r>
      <w:r w:rsidRPr="00FE2C27">
        <w:t xml:space="preserve"> et son affectation</w:t>
      </w:r>
      <w:bookmarkEnd w:id="65"/>
    </w:p>
    <w:tbl>
      <w:tblPr>
        <w:tblW w:w="7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2"/>
        <w:gridCol w:w="779"/>
        <w:gridCol w:w="1709"/>
      </w:tblGrid>
      <w:tr w:rsidR="00FE2C27" w:rsidRPr="00FE2C27" w:rsidTr="00F7599F">
        <w:trPr>
          <w:trHeight w:val="300"/>
          <w:jc w:val="center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AFFECTATION DU RESULTAT DE FONCTIONNEMENT 2020</w:t>
            </w:r>
          </w:p>
        </w:tc>
      </w:tr>
      <w:tr w:rsidR="00FE2C27" w:rsidRPr="00FE2C27" w:rsidTr="00FE2C27">
        <w:trPr>
          <w:trHeight w:val="30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FONCTIONNEMENT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E2C27" w:rsidRPr="00FE2C27" w:rsidTr="00FE2C27">
        <w:trPr>
          <w:trHeight w:val="30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-1 137 642,15 €</w:t>
            </w:r>
          </w:p>
        </w:tc>
      </w:tr>
      <w:tr w:rsidR="00FE2C27" w:rsidRPr="00FE2C27" w:rsidTr="00FE2C27">
        <w:trPr>
          <w:trHeight w:val="30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400 491,10 €</w:t>
            </w:r>
          </w:p>
        </w:tc>
      </w:tr>
      <w:tr w:rsidR="00FE2C27" w:rsidRPr="00FE2C27" w:rsidTr="00FE2C27">
        <w:trPr>
          <w:trHeight w:val="30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= Résultat à affecter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-737 151,05 €</w:t>
            </w:r>
          </w:p>
        </w:tc>
      </w:tr>
      <w:tr w:rsidR="00FE2C27" w:rsidRPr="00FE2C27" w:rsidTr="00FE2C27">
        <w:trPr>
          <w:trHeight w:val="30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INVESTISSEMENT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E2C27" w:rsidRPr="00FE2C27" w:rsidTr="00FE2C27">
        <w:trPr>
          <w:trHeight w:val="30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0,00 €</w:t>
            </w:r>
          </w:p>
        </w:tc>
      </w:tr>
      <w:tr w:rsidR="00FE2C27" w:rsidRPr="00FE2C27" w:rsidTr="00FE2C27">
        <w:trPr>
          <w:trHeight w:val="30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0,00 €</w:t>
            </w:r>
          </w:p>
        </w:tc>
      </w:tr>
      <w:tr w:rsidR="00FE2C27" w:rsidRPr="00FE2C27" w:rsidTr="00FE2C27">
        <w:trPr>
          <w:trHeight w:val="30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= Résultat cumulé à reporter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R 001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0,00 €</w:t>
            </w:r>
          </w:p>
        </w:tc>
      </w:tr>
      <w:tr w:rsidR="00FE2C27" w:rsidRPr="00FE2C27" w:rsidTr="00FE2C27">
        <w:trPr>
          <w:trHeight w:val="30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Solde des restes à réaliser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0,00 €</w:t>
            </w:r>
          </w:p>
        </w:tc>
      </w:tr>
      <w:tr w:rsidR="00FE2C27" w:rsidRPr="00FE2C27" w:rsidTr="00FE2C27">
        <w:trPr>
          <w:trHeight w:val="30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= Besoin de financement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0,00 €</w:t>
            </w:r>
          </w:p>
        </w:tc>
      </w:tr>
      <w:tr w:rsidR="00FE2C27" w:rsidRPr="00FE2C27" w:rsidTr="00FE2C27">
        <w:trPr>
          <w:trHeight w:val="30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AFFECTATION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E2C27" w:rsidRPr="00FE2C27" w:rsidTr="00FE2C27">
        <w:trPr>
          <w:trHeight w:val="30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Couverture du besoin de financement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R 1068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0,00 €</w:t>
            </w:r>
          </w:p>
        </w:tc>
      </w:tr>
      <w:tr w:rsidR="00FE2C27" w:rsidRPr="00FE2C27" w:rsidTr="00FE2C27">
        <w:trPr>
          <w:trHeight w:val="30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Excédent de fonctionnement restant à reporter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D 002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-737 151,05 €</w:t>
            </w:r>
          </w:p>
        </w:tc>
      </w:tr>
      <w:tr w:rsidR="00FE2C27" w:rsidRPr="00FE2C27" w:rsidTr="00FE2C27">
        <w:trPr>
          <w:trHeight w:val="30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Solde des restes à réaliser de fonctionnement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737 151,05 €</w:t>
            </w:r>
          </w:p>
        </w:tc>
      </w:tr>
      <w:tr w:rsidR="00FE2C27" w:rsidRPr="00FE2C27" w:rsidTr="00FE2C27">
        <w:trPr>
          <w:trHeight w:val="30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RESULTAT GLOBAL 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2C27" w:rsidRPr="00FE2C27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C27">
              <w:rPr>
                <w:rFonts w:ascii="Calibri" w:eastAsia="Times New Roman" w:hAnsi="Calibri" w:cs="Calibri"/>
                <w:b/>
                <w:bCs/>
                <w:lang w:eastAsia="fr-FR"/>
              </w:rPr>
              <w:t>0,00 €</w:t>
            </w:r>
          </w:p>
        </w:tc>
      </w:tr>
    </w:tbl>
    <w:p w:rsidR="00B077B0" w:rsidRDefault="00B077B0">
      <w:pPr>
        <w:spacing w:after="200" w:line="276" w:lineRule="auto"/>
        <w:rPr>
          <w:rFonts w:eastAsiaTheme="majorEastAsia" w:cstheme="majorBidi"/>
          <w:b/>
          <w:bCs/>
          <w:color w:val="4F81BD" w:themeColor="accent1"/>
          <w:sz w:val="28"/>
          <w:szCs w:val="26"/>
        </w:rPr>
      </w:pPr>
      <w:r>
        <w:br w:type="page"/>
      </w:r>
    </w:p>
    <w:p w:rsidR="0080541E" w:rsidRDefault="0080541E" w:rsidP="0080541E">
      <w:pPr>
        <w:pStyle w:val="Titre2"/>
      </w:pPr>
      <w:bookmarkStart w:id="66" w:name="_Toc74317362"/>
      <w:r>
        <w:lastRenderedPageBreak/>
        <w:t>Tourisme</w:t>
      </w:r>
      <w:bookmarkEnd w:id="66"/>
    </w:p>
    <w:p w:rsidR="00B97B5D" w:rsidRPr="00693BDD" w:rsidRDefault="00B97B5D" w:rsidP="005046DF">
      <w:pPr>
        <w:spacing w:after="200" w:line="276" w:lineRule="auto"/>
        <w:jc w:val="both"/>
      </w:pPr>
      <w:r w:rsidRPr="00693BDD">
        <w:t>Les opérations réalisées en 20</w:t>
      </w:r>
      <w:r w:rsidR="00FE2C27" w:rsidRPr="00693BDD">
        <w:t>20</w:t>
      </w:r>
      <w:r w:rsidRPr="00693BDD">
        <w:t xml:space="preserve"> sur le budget annexe Tourisme sont présentées ci-dessous :</w:t>
      </w:r>
    </w:p>
    <w:tbl>
      <w:tblPr>
        <w:tblW w:w="107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377"/>
        <w:gridCol w:w="1240"/>
        <w:gridCol w:w="1240"/>
        <w:gridCol w:w="1240"/>
        <w:gridCol w:w="1130"/>
        <w:gridCol w:w="1020"/>
      </w:tblGrid>
      <w:tr w:rsidR="00C0288C" w:rsidRPr="002E05C9" w:rsidTr="00A6448D">
        <w:trPr>
          <w:trHeight w:val="300"/>
          <w:jc w:val="center"/>
        </w:trPr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Investissement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BUDGETE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EVOLUTION</w:t>
            </w:r>
          </w:p>
        </w:tc>
      </w:tr>
      <w:tr w:rsidR="00C0288C" w:rsidRPr="002E05C9" w:rsidTr="00A6448D">
        <w:trPr>
          <w:trHeight w:val="300"/>
          <w:jc w:val="center"/>
        </w:trPr>
        <w:tc>
          <w:tcPr>
            <w:tcW w:w="4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2020-2019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040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Opérations d'ordre de transfert entre sections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77 408 €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81 200 €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81 158 €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3 750 €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4,8%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041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Opérations patrimoniales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47 330 €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16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Emprunts et dettes assimilés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11 861 €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26 450 €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13 170 €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1 309 €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11,0%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20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Immobilisations incorporelles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73 026 €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55 675 €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27 119 €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-45 907 €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-62,9%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204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Subventions d'équipement versées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30 000 €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21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Immobilisations corporelles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8 053 €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172 165 €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63 293 €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55 240 €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686,0%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23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Immobilisations en cours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34 282 €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814 073 €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356 597 €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322 315 €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940,2%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 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Total Dépenses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204 630 €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1 226 893 €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541 337 €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336 707 €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164,5%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001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Résultat reporté d'investissement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5 318 €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117 602 €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117 602 €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112 284 €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2111,6%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021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Virement de la section de fonctionnement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9 080 €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040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Operations d'ordre de transfert entre sections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159 128 €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160 560 €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160 559 €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1 431 €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0,9%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041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Operations patrimoniales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47 330 €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10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Dotations, fonds divers et réserves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19 786 €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28 110 €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29 618 €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9 832 €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49,7%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13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Subventions d'investissement reçues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75 000 €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264 969 €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57 856 €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-17 144 €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-22,9%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16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Emprunts et dettes assimilés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63 000 €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599 243 €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-63 000 €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-100,0%</w:t>
            </w:r>
          </w:p>
        </w:tc>
      </w:tr>
      <w:tr w:rsidR="00C0288C" w:rsidRPr="002E05C9" w:rsidTr="00C0288C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 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Total Recettes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322 232 €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1 226 893 €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365 635 €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43 403 €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13,5%</w:t>
            </w:r>
          </w:p>
        </w:tc>
      </w:tr>
    </w:tbl>
    <w:p w:rsidR="00ED4AB4" w:rsidRDefault="00ED4AB4" w:rsidP="003C78D6">
      <w:pPr>
        <w:spacing w:after="0" w:line="240" w:lineRule="auto"/>
        <w:jc w:val="both"/>
      </w:pPr>
    </w:p>
    <w:p w:rsidR="004F36D9" w:rsidRPr="00693BDD" w:rsidRDefault="004F36D9" w:rsidP="003C78D6">
      <w:pPr>
        <w:spacing w:after="0" w:line="240" w:lineRule="auto"/>
        <w:jc w:val="both"/>
      </w:pPr>
    </w:p>
    <w:tbl>
      <w:tblPr>
        <w:tblW w:w="1079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216"/>
        <w:gridCol w:w="1452"/>
        <w:gridCol w:w="1240"/>
        <w:gridCol w:w="1240"/>
        <w:gridCol w:w="1197"/>
        <w:gridCol w:w="976"/>
      </w:tblGrid>
      <w:tr w:rsidR="00C0288C" w:rsidRPr="002E05C9" w:rsidTr="004F36D9">
        <w:trPr>
          <w:trHeight w:val="300"/>
          <w:jc w:val="center"/>
        </w:trPr>
        <w:tc>
          <w:tcPr>
            <w:tcW w:w="4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Fonctionnement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BUDGETE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EVOLUTION</w:t>
            </w:r>
          </w:p>
        </w:tc>
      </w:tr>
      <w:tr w:rsidR="00C0288C" w:rsidRPr="002E05C9" w:rsidTr="004F36D9">
        <w:trPr>
          <w:trHeight w:val="300"/>
          <w:jc w:val="center"/>
        </w:trPr>
        <w:tc>
          <w:tcPr>
            <w:tcW w:w="4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8C" w:rsidRPr="002E05C9" w:rsidRDefault="00C0288C" w:rsidP="00C0288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C0288C" w:rsidRPr="002E05C9" w:rsidRDefault="00C0288C" w:rsidP="00C028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2020-2019</w:t>
            </w:r>
          </w:p>
        </w:tc>
      </w:tr>
      <w:tr w:rsidR="00C0288C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011</w:t>
            </w:r>
          </w:p>
        </w:tc>
        <w:tc>
          <w:tcPr>
            <w:tcW w:w="4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Charges à caractère général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9 163 €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23 620 €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9 220 €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57 €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0,6%</w:t>
            </w:r>
          </w:p>
        </w:tc>
      </w:tr>
      <w:tr w:rsidR="00C0288C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014</w:t>
            </w:r>
          </w:p>
        </w:tc>
        <w:tc>
          <w:tcPr>
            <w:tcW w:w="4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Atténuations de produits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665 851 €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661 042 €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660 042 €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-5 809 €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-0,9%</w:t>
            </w:r>
          </w:p>
        </w:tc>
      </w:tr>
      <w:tr w:rsidR="00C0288C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023</w:t>
            </w:r>
          </w:p>
        </w:tc>
        <w:tc>
          <w:tcPr>
            <w:tcW w:w="4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Virement à la section d'investissement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9 080 €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C0288C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042</w:t>
            </w:r>
          </w:p>
        </w:tc>
        <w:tc>
          <w:tcPr>
            <w:tcW w:w="4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Opérations d'ordre de transfert entre sections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159 128 €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160 560 €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160 559 €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1 431 €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0,9%</w:t>
            </w:r>
          </w:p>
        </w:tc>
      </w:tr>
      <w:tr w:rsidR="00C0288C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65</w:t>
            </w:r>
          </w:p>
        </w:tc>
        <w:tc>
          <w:tcPr>
            <w:tcW w:w="4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Autres charges de gestion courante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576 153 €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570 328 €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570 294 €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-5 859 €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-1,0%</w:t>
            </w:r>
          </w:p>
        </w:tc>
      </w:tr>
      <w:tr w:rsidR="00C0288C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66</w:t>
            </w:r>
          </w:p>
        </w:tc>
        <w:tc>
          <w:tcPr>
            <w:tcW w:w="4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Charges financières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649 €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3 850 €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629 €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-20 €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-3,1%</w:t>
            </w:r>
          </w:p>
        </w:tc>
      </w:tr>
      <w:tr w:rsidR="00C0288C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67</w:t>
            </w:r>
          </w:p>
        </w:tc>
        <w:tc>
          <w:tcPr>
            <w:tcW w:w="4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Charges exceptionnelles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3 702 €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27 500 €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20 543 €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16 841 €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454,9%</w:t>
            </w:r>
          </w:p>
        </w:tc>
      </w:tr>
      <w:tr w:rsidR="00C0288C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 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Total Dépenses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1 414 646 €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1 455 980 €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1 421 287 €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6 642 €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0,5%</w:t>
            </w:r>
          </w:p>
        </w:tc>
      </w:tr>
      <w:tr w:rsidR="00C0288C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002</w:t>
            </w:r>
          </w:p>
        </w:tc>
        <w:tc>
          <w:tcPr>
            <w:tcW w:w="4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Résultat reporte de fonctionnement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-63 €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-100,0%</w:t>
            </w:r>
          </w:p>
        </w:tc>
      </w:tr>
      <w:tr w:rsidR="00C0288C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042</w:t>
            </w:r>
          </w:p>
        </w:tc>
        <w:tc>
          <w:tcPr>
            <w:tcW w:w="4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Opérations d'ordre de transfert entre sections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77 408 €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81 200 €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81 158 €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3 750 €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4,8%</w:t>
            </w:r>
          </w:p>
        </w:tc>
      </w:tr>
      <w:tr w:rsidR="00C0288C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70</w:t>
            </w:r>
          </w:p>
        </w:tc>
        <w:tc>
          <w:tcPr>
            <w:tcW w:w="4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Produits des services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1 303 €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833 €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832 €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-471 €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-36,2%</w:t>
            </w:r>
          </w:p>
        </w:tc>
      </w:tr>
      <w:tr w:rsidR="00C0288C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73</w:t>
            </w:r>
          </w:p>
        </w:tc>
        <w:tc>
          <w:tcPr>
            <w:tcW w:w="4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Impôts et taxes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694 090 €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305 000 €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542 066 €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-152 024 €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-21,9%</w:t>
            </w:r>
          </w:p>
        </w:tc>
      </w:tr>
      <w:tr w:rsidR="00C0288C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74</w:t>
            </w:r>
          </w:p>
        </w:tc>
        <w:tc>
          <w:tcPr>
            <w:tcW w:w="4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Dotations, subventions et participations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688 €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812 €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936 €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248 €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36,0%</w:t>
            </w:r>
          </w:p>
        </w:tc>
      </w:tr>
      <w:tr w:rsidR="004C1793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1793" w:rsidRPr="002E05C9" w:rsidRDefault="004C1793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75</w:t>
            </w:r>
          </w:p>
        </w:tc>
        <w:tc>
          <w:tcPr>
            <w:tcW w:w="4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93" w:rsidRPr="002E05C9" w:rsidRDefault="004C1793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Autres produits de gestion courante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93" w:rsidRPr="002E05C9" w:rsidRDefault="004C1793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641 009 €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93" w:rsidRPr="002E05C9" w:rsidRDefault="004C1793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719 478 €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93" w:rsidRPr="002E05C9" w:rsidRDefault="004C1793" w:rsidP="00C0225C">
            <w:pPr>
              <w:spacing w:after="0" w:line="240" w:lineRule="auto"/>
              <w:jc w:val="right"/>
              <w:rPr>
                <w:rFonts w:cstheme="minorHAnsi"/>
              </w:rPr>
            </w:pPr>
            <w:r w:rsidRPr="002E05C9">
              <w:rPr>
                <w:rFonts w:cstheme="minorHAnsi"/>
              </w:rPr>
              <w:t>717 748 €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93" w:rsidRPr="002E05C9" w:rsidRDefault="004C1793" w:rsidP="00C0225C">
            <w:pPr>
              <w:spacing w:after="0" w:line="240" w:lineRule="auto"/>
              <w:jc w:val="right"/>
              <w:rPr>
                <w:rFonts w:cstheme="minorHAnsi"/>
              </w:rPr>
            </w:pPr>
            <w:r w:rsidRPr="002E05C9">
              <w:rPr>
                <w:rFonts w:cstheme="minorHAnsi"/>
              </w:rPr>
              <w:t>76 738 €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93" w:rsidRPr="002E05C9" w:rsidRDefault="004C1793" w:rsidP="00C0225C">
            <w:pPr>
              <w:spacing w:after="0" w:line="240" w:lineRule="auto"/>
              <w:jc w:val="right"/>
              <w:rPr>
                <w:rFonts w:cstheme="minorHAnsi"/>
              </w:rPr>
            </w:pPr>
            <w:r w:rsidRPr="002E05C9">
              <w:rPr>
                <w:rFonts w:cstheme="minorHAnsi"/>
              </w:rPr>
              <w:t>12,0%</w:t>
            </w:r>
          </w:p>
        </w:tc>
      </w:tr>
      <w:tr w:rsidR="00C0288C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77</w:t>
            </w:r>
          </w:p>
        </w:tc>
        <w:tc>
          <w:tcPr>
            <w:tcW w:w="4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Produits exceptionnels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84 €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348 657 €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377 922 €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377 838 €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8C" w:rsidRPr="002E05C9" w:rsidRDefault="00C0288C" w:rsidP="00C0225C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4C1793" w:rsidRPr="002E05C9" w:rsidTr="004F36D9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93" w:rsidRPr="002E05C9" w:rsidRDefault="004C1793" w:rsidP="00C0225C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 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93" w:rsidRPr="002E05C9" w:rsidRDefault="004C1793" w:rsidP="00C0225C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Total Recettes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93" w:rsidRPr="002E05C9" w:rsidRDefault="004C1793" w:rsidP="00C0225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1 414 646 €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93" w:rsidRPr="002E05C9" w:rsidRDefault="004C1793" w:rsidP="00C0225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1 455 980 €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93" w:rsidRPr="002E05C9" w:rsidRDefault="004C1793" w:rsidP="00C0225C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2E05C9">
              <w:rPr>
                <w:rFonts w:cstheme="minorHAnsi"/>
                <w:b/>
              </w:rPr>
              <w:t>1 720 662 €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93" w:rsidRPr="002E05C9" w:rsidRDefault="004C1793" w:rsidP="00C0225C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2E05C9">
              <w:rPr>
                <w:rFonts w:cstheme="minorHAnsi"/>
                <w:b/>
              </w:rPr>
              <w:t>306 016 €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793" w:rsidRPr="002E05C9" w:rsidRDefault="004C1793" w:rsidP="00C0225C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2E05C9">
              <w:rPr>
                <w:rFonts w:cstheme="minorHAnsi"/>
                <w:b/>
              </w:rPr>
              <w:t>21,6%</w:t>
            </w:r>
          </w:p>
        </w:tc>
      </w:tr>
    </w:tbl>
    <w:p w:rsidR="00110B63" w:rsidRDefault="00110B63" w:rsidP="00110B63">
      <w:r>
        <w:br w:type="page"/>
      </w:r>
    </w:p>
    <w:p w:rsidR="00CF6595" w:rsidRDefault="00CF6595" w:rsidP="00875C2B">
      <w:pPr>
        <w:pStyle w:val="Titre3"/>
      </w:pPr>
      <w:bookmarkStart w:id="67" w:name="_Toc74317363"/>
      <w:r>
        <w:lastRenderedPageBreak/>
        <w:t>L’analyse</w:t>
      </w:r>
      <w:bookmarkEnd w:id="67"/>
    </w:p>
    <w:p w:rsidR="00170025" w:rsidRPr="00F763B7" w:rsidRDefault="00170025" w:rsidP="005046DF">
      <w:pPr>
        <w:spacing w:after="200" w:line="276" w:lineRule="auto"/>
        <w:jc w:val="both"/>
      </w:pPr>
      <w:r w:rsidRPr="00F763B7">
        <w:t xml:space="preserve">Les éléments à noter sur l’exécution </w:t>
      </w:r>
      <w:r w:rsidR="004F36D9">
        <w:t xml:space="preserve">de ce </w:t>
      </w:r>
      <w:r w:rsidRPr="00F763B7">
        <w:t>budget</w:t>
      </w:r>
      <w:r w:rsidR="004F36D9">
        <w:t xml:space="preserve"> en </w:t>
      </w:r>
      <w:r w:rsidRPr="00F763B7">
        <w:t>2020 sont</w:t>
      </w:r>
      <w:r w:rsidR="004F36D9">
        <w:t xml:space="preserve"> notamment </w:t>
      </w:r>
      <w:r w:rsidRPr="00F763B7">
        <w:t>:</w:t>
      </w:r>
    </w:p>
    <w:p w:rsidR="00ED54A0" w:rsidRPr="00693BDD" w:rsidRDefault="00ED54A0" w:rsidP="004F36D9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693BDD">
        <w:t xml:space="preserve">Une </w:t>
      </w:r>
      <w:r w:rsidR="00B1360B">
        <w:t>baisse</w:t>
      </w:r>
      <w:r w:rsidRPr="00693BDD">
        <w:t xml:space="preserve"> de </w:t>
      </w:r>
      <w:r w:rsidR="00AC0C9F" w:rsidRPr="00693BDD">
        <w:t>-</w:t>
      </w:r>
      <w:r w:rsidRPr="00693BDD">
        <w:t>22 % de la taxe de séjour encaissée en</w:t>
      </w:r>
      <w:r w:rsidR="00693BDD" w:rsidRPr="00693BDD">
        <w:t>tre</w:t>
      </w:r>
      <w:r w:rsidRPr="00693BDD">
        <w:t xml:space="preserve"> 2019</w:t>
      </w:r>
      <w:r w:rsidR="00693BDD" w:rsidRPr="00693BDD">
        <w:t xml:space="preserve"> et 2020</w:t>
      </w:r>
      <w:r w:rsidRPr="00693BDD">
        <w:t xml:space="preserve"> (chapitre 73) pour atteindre </w:t>
      </w:r>
      <w:r w:rsidR="00693BDD" w:rsidRPr="00693BDD">
        <w:t>542</w:t>
      </w:r>
      <w:r w:rsidRPr="00693BDD">
        <w:t xml:space="preserve"> K€ ;</w:t>
      </w:r>
    </w:p>
    <w:p w:rsidR="00ED54A0" w:rsidRPr="00693BDD" w:rsidRDefault="00ED54A0" w:rsidP="004F36D9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693BDD">
        <w:t>Une subvention versée à l’Office du Tourisme Communautaire de 1 2</w:t>
      </w:r>
      <w:r w:rsidR="00693BDD">
        <w:t>30</w:t>
      </w:r>
      <w:r w:rsidRPr="00693BDD">
        <w:t xml:space="preserve"> K€, composée du reversement intégral de la taxe de séjour encaissée en 201</w:t>
      </w:r>
      <w:r w:rsidR="00693BDD" w:rsidRPr="00693BDD">
        <w:t>9</w:t>
      </w:r>
      <w:r w:rsidRPr="00693BDD">
        <w:t xml:space="preserve"> (</w:t>
      </w:r>
      <w:r w:rsidR="0024099D" w:rsidRPr="00693BDD">
        <w:t>66</w:t>
      </w:r>
      <w:r w:rsidR="00693BDD" w:rsidRPr="00693BDD">
        <w:t>0</w:t>
      </w:r>
      <w:r w:rsidRPr="00693BDD">
        <w:t xml:space="preserve"> K€ au chapitre 014) et de fonds propres CARO (</w:t>
      </w:r>
      <w:r w:rsidR="0024099D" w:rsidRPr="00693BDD">
        <w:t>57</w:t>
      </w:r>
      <w:r w:rsidR="00693BDD" w:rsidRPr="00693BDD">
        <w:t>0</w:t>
      </w:r>
      <w:r w:rsidRPr="00693BDD">
        <w:t xml:space="preserve"> K€) ;</w:t>
      </w:r>
    </w:p>
    <w:p w:rsidR="004F36D9" w:rsidRPr="004C1793" w:rsidRDefault="004F36D9" w:rsidP="004F36D9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4C1793">
        <w:t>Une subvention d’équilibre du budget principal nécessaire de 700 K€</w:t>
      </w:r>
      <w:r>
        <w:t xml:space="preserve"> </w:t>
      </w:r>
      <w:r w:rsidRPr="004C1793">
        <w:t>;</w:t>
      </w:r>
    </w:p>
    <w:p w:rsidR="00ED54A0" w:rsidRPr="00693BDD" w:rsidRDefault="004F36D9" w:rsidP="004F36D9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>
        <w:t>D</w:t>
      </w:r>
      <w:r w:rsidR="00693BDD" w:rsidRPr="00693BDD">
        <w:t xml:space="preserve">es dépenses d’équipement </w:t>
      </w:r>
      <w:r w:rsidR="0024099D" w:rsidRPr="00693BDD">
        <w:t>financé</w:t>
      </w:r>
      <w:r>
        <w:t>e</w:t>
      </w:r>
      <w:r w:rsidR="0024099D" w:rsidRPr="00693BDD">
        <w:t>s par l’autofinancement et</w:t>
      </w:r>
      <w:r w:rsidR="00ED54A0" w:rsidRPr="00693BDD">
        <w:t xml:space="preserve"> </w:t>
      </w:r>
      <w:r w:rsidR="00693BDD" w:rsidRPr="00693BDD">
        <w:t>les subventions</w:t>
      </w:r>
      <w:r w:rsidR="00ED54A0" w:rsidRPr="00693BDD">
        <w:t xml:space="preserve"> </w:t>
      </w:r>
      <w:r w:rsidR="0024099D" w:rsidRPr="00693BDD">
        <w:t xml:space="preserve">de </w:t>
      </w:r>
      <w:r w:rsidR="00693BDD" w:rsidRPr="00693BDD">
        <w:t>58 </w:t>
      </w:r>
      <w:r w:rsidR="0024099D" w:rsidRPr="00693BDD">
        <w:t xml:space="preserve">K€ </w:t>
      </w:r>
      <w:r w:rsidR="00693BDD" w:rsidRPr="00693BDD">
        <w:t>perçues pour les travaux de l’OT Fouras</w:t>
      </w:r>
      <w:r>
        <w:t>.</w:t>
      </w:r>
    </w:p>
    <w:p w:rsidR="00693BDD" w:rsidRPr="00693BDD" w:rsidRDefault="00693BDD" w:rsidP="004F36D9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693BDD">
        <w:t>Pour compenser la perte de recettes liées aux activités de tourisme, le budget principal a subventionné exceptionnellement le budget annexe du tourisme </w:t>
      </w:r>
      <w:r w:rsidR="004F36D9">
        <w:t>à hauteur de</w:t>
      </w:r>
      <w:r w:rsidRPr="00693BDD">
        <w:t xml:space="preserve"> 376 K€ en complément de la subvention d’équilibre</w:t>
      </w:r>
      <w:r w:rsidR="004F36D9">
        <w:t xml:space="preserve"> habituelle</w:t>
      </w:r>
      <w:r w:rsidRPr="00693BDD">
        <w:t>.</w:t>
      </w:r>
    </w:p>
    <w:p w:rsidR="0024099D" w:rsidRPr="00872FB5" w:rsidRDefault="0024099D" w:rsidP="004F36D9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872FB5">
        <w:t xml:space="preserve">Des dépenses d’équipement réalisées à hauteur de </w:t>
      </w:r>
      <w:r w:rsidR="00872FB5" w:rsidRPr="00872FB5">
        <w:t>447</w:t>
      </w:r>
      <w:r w:rsidRPr="00872FB5">
        <w:t xml:space="preserve"> K€ :</w:t>
      </w:r>
    </w:p>
    <w:tbl>
      <w:tblPr>
        <w:tblW w:w="7842" w:type="dxa"/>
        <w:jc w:val="center"/>
        <w:tblInd w:w="-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1"/>
        <w:gridCol w:w="1619"/>
        <w:gridCol w:w="1852"/>
      </w:tblGrid>
      <w:tr w:rsidR="00872FB5" w:rsidRPr="002E05C9" w:rsidTr="00A6448D">
        <w:trPr>
          <w:trHeight w:val="255"/>
          <w:jc w:val="center"/>
        </w:trPr>
        <w:tc>
          <w:tcPr>
            <w:tcW w:w="437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Groupe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Mandaté 2020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Reports de 2020</w:t>
            </w:r>
          </w:p>
        </w:tc>
      </w:tr>
      <w:tr w:rsidR="00872FB5" w:rsidRPr="002E05C9" w:rsidTr="00A6448D">
        <w:trPr>
          <w:trHeight w:val="255"/>
          <w:jc w:val="center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O</w:t>
            </w:r>
            <w:r w:rsidR="004F36D9" w:rsidRPr="002E05C9">
              <w:rPr>
                <w:rFonts w:eastAsia="Times New Roman" w:cstheme="minorHAnsi"/>
                <w:lang w:eastAsia="fr-FR"/>
              </w:rPr>
              <w:t xml:space="preserve">ffice du </w:t>
            </w:r>
            <w:r w:rsidRPr="002E05C9">
              <w:rPr>
                <w:rFonts w:eastAsia="Times New Roman" w:cstheme="minorHAnsi"/>
                <w:lang w:eastAsia="fr-FR"/>
              </w:rPr>
              <w:t>T</w:t>
            </w:r>
            <w:r w:rsidR="004F36D9" w:rsidRPr="002E05C9">
              <w:rPr>
                <w:rFonts w:eastAsia="Times New Roman" w:cstheme="minorHAnsi"/>
                <w:lang w:eastAsia="fr-FR"/>
              </w:rPr>
              <w:t>ourisme</w:t>
            </w:r>
            <w:r w:rsidRPr="002E05C9">
              <w:rPr>
                <w:rFonts w:eastAsia="Times New Roman" w:cstheme="minorHAnsi"/>
                <w:lang w:eastAsia="fr-FR"/>
              </w:rPr>
              <w:t xml:space="preserve"> Fouras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377 326 €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482 359 €</w:t>
            </w:r>
          </w:p>
        </w:tc>
      </w:tr>
      <w:tr w:rsidR="00872FB5" w:rsidRPr="002E05C9" w:rsidTr="00A6448D">
        <w:trPr>
          <w:trHeight w:val="255"/>
          <w:jc w:val="center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B5" w:rsidRPr="002E05C9" w:rsidRDefault="004F36D9" w:rsidP="00872FB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Office du Tourisme</w:t>
            </w:r>
            <w:r w:rsidR="00872FB5" w:rsidRPr="002E05C9">
              <w:rPr>
                <w:rFonts w:eastAsia="Times New Roman" w:cstheme="minorHAnsi"/>
                <w:lang w:eastAsia="fr-FR"/>
              </w:rPr>
              <w:t xml:space="preserve"> Rochefort Carnot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52 403 €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27 504 €</w:t>
            </w:r>
          </w:p>
        </w:tc>
      </w:tr>
      <w:tr w:rsidR="00872FB5" w:rsidRPr="002E05C9" w:rsidTr="00A6448D">
        <w:trPr>
          <w:trHeight w:val="255"/>
          <w:jc w:val="center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Centre de vacances Fontaine Lupin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17 280 €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59 526 €</w:t>
            </w:r>
          </w:p>
        </w:tc>
      </w:tr>
      <w:tr w:rsidR="00872FB5" w:rsidRPr="002E05C9" w:rsidTr="00A6448D">
        <w:trPr>
          <w:trHeight w:val="255"/>
          <w:jc w:val="center"/>
        </w:trPr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Fonds de concours diagnostic pont suspendu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30 000 €</w:t>
            </w:r>
          </w:p>
        </w:tc>
      </w:tr>
      <w:tr w:rsidR="00872FB5" w:rsidRPr="002E05C9" w:rsidTr="00A6448D">
        <w:trPr>
          <w:trHeight w:val="255"/>
          <w:jc w:val="center"/>
        </w:trPr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447 009 €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B5" w:rsidRPr="002E05C9" w:rsidRDefault="00872FB5" w:rsidP="00872F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599 389 €</w:t>
            </w:r>
          </w:p>
        </w:tc>
      </w:tr>
    </w:tbl>
    <w:p w:rsidR="006D260C" w:rsidRDefault="006D260C" w:rsidP="00ED54A0">
      <w:pPr>
        <w:spacing w:after="0" w:line="240" w:lineRule="auto"/>
        <w:jc w:val="both"/>
        <w:rPr>
          <w:color w:val="FF0000"/>
        </w:rPr>
      </w:pPr>
    </w:p>
    <w:p w:rsidR="00174811" w:rsidRDefault="00174811" w:rsidP="00ED54A0">
      <w:pPr>
        <w:spacing w:after="0" w:line="240" w:lineRule="auto"/>
        <w:jc w:val="both"/>
        <w:rPr>
          <w:color w:val="FF0000"/>
        </w:rPr>
      </w:pPr>
    </w:p>
    <w:p w:rsidR="00B077B0" w:rsidRPr="00F55080" w:rsidRDefault="00B077B0" w:rsidP="00ED54A0">
      <w:pPr>
        <w:spacing w:after="0" w:line="240" w:lineRule="auto"/>
        <w:jc w:val="both"/>
        <w:rPr>
          <w:color w:val="FF0000"/>
        </w:rPr>
      </w:pPr>
    </w:p>
    <w:p w:rsidR="0091218C" w:rsidRPr="00FE2C27" w:rsidRDefault="0091218C" w:rsidP="00875C2B">
      <w:pPr>
        <w:pStyle w:val="Titre3"/>
      </w:pPr>
      <w:bookmarkStart w:id="68" w:name="_Toc74317364"/>
      <w:r w:rsidRPr="00FE2C27">
        <w:t>Le résultat 20</w:t>
      </w:r>
      <w:r w:rsidR="00FE2C27" w:rsidRPr="00FE2C27">
        <w:t>20</w:t>
      </w:r>
      <w:r w:rsidRPr="00FE2C27">
        <w:t xml:space="preserve"> et son affectation</w:t>
      </w:r>
      <w:bookmarkEnd w:id="68"/>
    </w:p>
    <w:tbl>
      <w:tblPr>
        <w:tblW w:w="78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6"/>
        <w:gridCol w:w="799"/>
        <w:gridCol w:w="1556"/>
      </w:tblGrid>
      <w:tr w:rsidR="00FE2C27" w:rsidRPr="002E05C9" w:rsidTr="00A6448D">
        <w:trPr>
          <w:trHeight w:val="300"/>
          <w:jc w:val="center"/>
        </w:trPr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AFFECTATION DU RESULTAT DE FONCTIONNEMENT 2020</w:t>
            </w:r>
          </w:p>
        </w:tc>
      </w:tr>
      <w:tr w:rsidR="00FE2C27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FONCTIONNEMENT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27" w:rsidRPr="002E05C9" w:rsidRDefault="00FE2C27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9432F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0,00 €</w:t>
            </w:r>
          </w:p>
        </w:tc>
      </w:tr>
      <w:tr w:rsidR="0009432F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299 374,64 €</w:t>
            </w:r>
          </w:p>
        </w:tc>
      </w:tr>
      <w:tr w:rsidR="0009432F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= Résultat à affecter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299 374,64 €</w:t>
            </w:r>
          </w:p>
        </w:tc>
      </w:tr>
      <w:tr w:rsidR="0009432F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INVESTISSEMENT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 </w:t>
            </w:r>
          </w:p>
        </w:tc>
      </w:tr>
      <w:tr w:rsidR="0009432F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117 601,86 €</w:t>
            </w:r>
          </w:p>
        </w:tc>
      </w:tr>
      <w:tr w:rsidR="0009432F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-293 304,13 €</w:t>
            </w:r>
          </w:p>
        </w:tc>
      </w:tr>
      <w:tr w:rsidR="0009432F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= Résultat cumulé à reporter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D 001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-175 702,27 €</w:t>
            </w:r>
          </w:p>
        </w:tc>
      </w:tr>
      <w:tr w:rsidR="0009432F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Solde des restes à réaliser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-122 226,06 €</w:t>
            </w:r>
          </w:p>
        </w:tc>
      </w:tr>
      <w:tr w:rsidR="0009432F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= Besoin de financement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-297 928,33 €</w:t>
            </w:r>
          </w:p>
        </w:tc>
      </w:tr>
      <w:tr w:rsidR="0009432F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AFFECTATION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 </w:t>
            </w:r>
          </w:p>
        </w:tc>
      </w:tr>
      <w:tr w:rsidR="0009432F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Couverture du besoin de financement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 1068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297 928,33 €</w:t>
            </w:r>
          </w:p>
        </w:tc>
      </w:tr>
      <w:tr w:rsidR="0009432F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Excédent de fonctionnement restant à reporter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 002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1 446,31 €</w:t>
            </w:r>
          </w:p>
        </w:tc>
      </w:tr>
      <w:tr w:rsidR="0009432F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Solde des restes à réaliser de fonctionnement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-1 446,31 €</w:t>
            </w:r>
          </w:p>
        </w:tc>
      </w:tr>
      <w:tr w:rsidR="0009432F" w:rsidRPr="002E05C9" w:rsidTr="00FE2C27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RESULTAT GLOBAL 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FE2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0,00 €</w:t>
            </w:r>
          </w:p>
        </w:tc>
      </w:tr>
    </w:tbl>
    <w:p w:rsidR="0091218C" w:rsidRPr="00F55080" w:rsidRDefault="0091218C" w:rsidP="0091218C">
      <w:pPr>
        <w:spacing w:after="0" w:line="240" w:lineRule="auto"/>
        <w:jc w:val="center"/>
        <w:rPr>
          <w:color w:val="FF0000"/>
        </w:rPr>
      </w:pPr>
    </w:p>
    <w:p w:rsidR="0080541E" w:rsidRDefault="0080541E" w:rsidP="0080541E">
      <w:pPr>
        <w:pStyle w:val="Titre1"/>
      </w:pPr>
      <w:bookmarkStart w:id="69" w:name="_Toc74317365"/>
      <w:r>
        <w:lastRenderedPageBreak/>
        <w:t>Les budgets annexes industriels &amp; commerciaux</w:t>
      </w:r>
      <w:bookmarkEnd w:id="69"/>
    </w:p>
    <w:p w:rsidR="0080541E" w:rsidRDefault="0080541E" w:rsidP="0080541E">
      <w:pPr>
        <w:pStyle w:val="Titre2"/>
      </w:pPr>
      <w:bookmarkStart w:id="70" w:name="_Toc74317366"/>
      <w:r>
        <w:t>Déchets ménagers</w:t>
      </w:r>
      <w:bookmarkEnd w:id="70"/>
    </w:p>
    <w:p w:rsidR="00F64FF7" w:rsidRPr="00F64FF7" w:rsidRDefault="00B97B5D" w:rsidP="005046DF">
      <w:pPr>
        <w:spacing w:after="200" w:line="276" w:lineRule="auto"/>
        <w:jc w:val="both"/>
      </w:pPr>
      <w:r w:rsidRPr="00170025">
        <w:t xml:space="preserve">Ce budget retrace les opérations nécessaires à la collecte, au tri et au traitement des déchets. </w:t>
      </w:r>
      <w:r w:rsidR="00F64FF7" w:rsidRPr="00F64FF7">
        <w:t>Il est autonome, c’est-à-dire financé par les redevances payées par les usagers.</w:t>
      </w:r>
    </w:p>
    <w:p w:rsidR="00B97B5D" w:rsidRPr="002E05C9" w:rsidRDefault="00B97B5D" w:rsidP="005046DF">
      <w:pPr>
        <w:spacing w:after="200" w:line="276" w:lineRule="auto"/>
        <w:jc w:val="both"/>
      </w:pPr>
      <w:r w:rsidRPr="002E05C9">
        <w:t>Les opér</w:t>
      </w:r>
      <w:r w:rsidR="00F26B11" w:rsidRPr="002E05C9">
        <w:t>ations réalisées en 20</w:t>
      </w:r>
      <w:r w:rsidR="00170025" w:rsidRPr="002E05C9">
        <w:t>20</w:t>
      </w:r>
      <w:r w:rsidRPr="002E05C9">
        <w:t xml:space="preserve"> sur ce budget sont présentées ci-dessous :</w:t>
      </w:r>
    </w:p>
    <w:tbl>
      <w:tblPr>
        <w:tblW w:w="11424" w:type="dxa"/>
        <w:jc w:val="center"/>
        <w:tblInd w:w="-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090"/>
        <w:gridCol w:w="1130"/>
        <w:gridCol w:w="1291"/>
        <w:gridCol w:w="1130"/>
        <w:gridCol w:w="1197"/>
        <w:gridCol w:w="976"/>
      </w:tblGrid>
      <w:tr w:rsidR="00832927" w:rsidRPr="002E05C9" w:rsidTr="003B3811">
        <w:trPr>
          <w:trHeight w:val="300"/>
          <w:jc w:val="center"/>
        </w:trPr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A49E0" w:rsidRPr="002E05C9" w:rsidRDefault="00832927" w:rsidP="004A4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Investissement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CA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BUDGETE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CA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EVOLUTION</w:t>
            </w:r>
          </w:p>
        </w:tc>
      </w:tr>
      <w:tr w:rsidR="004A49E0" w:rsidRPr="002E05C9" w:rsidTr="003B3811">
        <w:trPr>
          <w:trHeight w:val="300"/>
          <w:jc w:val="center"/>
        </w:trPr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A49E0" w:rsidRPr="002E05C9" w:rsidRDefault="004A49E0" w:rsidP="004A4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2020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2020-2019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020</w:t>
            </w:r>
          </w:p>
        </w:tc>
        <w:tc>
          <w:tcPr>
            <w:tcW w:w="50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832927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Dépenses imprévues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100 000 €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040</w:t>
            </w:r>
          </w:p>
        </w:tc>
        <w:tc>
          <w:tcPr>
            <w:tcW w:w="50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Opérations d'ordre de transfert entre sections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15 346 €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15 350 €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15 346 €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50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Emprunts et dettes assimilés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95 340 €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83 950 €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76 619 €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-18 722 €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-19,6%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20</w:t>
            </w:r>
          </w:p>
        </w:tc>
        <w:tc>
          <w:tcPr>
            <w:tcW w:w="50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832927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Immobilisations incorporelles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5 845 €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247 446 €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2 066 €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-3 779 €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-64,7%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21</w:t>
            </w:r>
          </w:p>
        </w:tc>
        <w:tc>
          <w:tcPr>
            <w:tcW w:w="50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832927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Immobilisations corporelles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382 162 €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608 331 €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146 235 €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-235 927 €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-61,7%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23</w:t>
            </w:r>
          </w:p>
        </w:tc>
        <w:tc>
          <w:tcPr>
            <w:tcW w:w="50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832927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Immobilisations en cours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384 187 €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 Total Dépenses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498 693 €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1 439 264 €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240 266 €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-258 428 €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-51,8%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001</w:t>
            </w:r>
          </w:p>
        </w:tc>
        <w:tc>
          <w:tcPr>
            <w:tcW w:w="50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Résultat reporté d'investissement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308 403 €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323 980 €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323 980 €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15 578 €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5,1%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021</w:t>
            </w:r>
          </w:p>
        </w:tc>
        <w:tc>
          <w:tcPr>
            <w:tcW w:w="50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832927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Virement de la section de fonctionnement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903 709 €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040</w:t>
            </w:r>
          </w:p>
        </w:tc>
        <w:tc>
          <w:tcPr>
            <w:tcW w:w="50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Opérations d'ordre de transfert entre sections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214 271 €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211 575 €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210 125 €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-4 146 €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-1,9%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13</w:t>
            </w:r>
          </w:p>
        </w:tc>
        <w:tc>
          <w:tcPr>
            <w:tcW w:w="50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832927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Subventions d'investissement reçues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3 670 €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3 670 €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50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832927" w:rsidP="004A49E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Emprunts et dettes assimiles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300 000 €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-300 000 €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0" w:rsidRPr="002E05C9" w:rsidRDefault="004A49E0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-100,0%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 Total Recettes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822 674 €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1 439 264 €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537 775 €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-284 898 €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4A4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-34,6%</w:t>
            </w:r>
          </w:p>
        </w:tc>
      </w:tr>
    </w:tbl>
    <w:p w:rsidR="004A49E0" w:rsidRPr="00832927" w:rsidRDefault="004A49E0" w:rsidP="00B97B5D">
      <w:pPr>
        <w:spacing w:after="0" w:line="240" w:lineRule="auto"/>
      </w:pPr>
    </w:p>
    <w:p w:rsidR="00174811" w:rsidRDefault="00174811"/>
    <w:tbl>
      <w:tblPr>
        <w:tblW w:w="1139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539"/>
        <w:gridCol w:w="1403"/>
        <w:gridCol w:w="1403"/>
        <w:gridCol w:w="1403"/>
        <w:gridCol w:w="1197"/>
        <w:gridCol w:w="976"/>
      </w:tblGrid>
      <w:tr w:rsidR="00832927" w:rsidRPr="002E05C9" w:rsidTr="003B3811">
        <w:trPr>
          <w:trHeight w:val="300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32927" w:rsidRPr="002E05C9" w:rsidRDefault="00832927" w:rsidP="0083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Fonctionnement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CA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BUDGETE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CA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EVOLUTION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5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2020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2020-2019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011</w:t>
            </w:r>
          </w:p>
        </w:tc>
        <w:tc>
          <w:tcPr>
            <w:tcW w:w="4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Charges à caractère général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8 722 718 €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8 926 522 €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8 765 657 €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42 939 €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0,5%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012</w:t>
            </w:r>
          </w:p>
        </w:tc>
        <w:tc>
          <w:tcPr>
            <w:tcW w:w="4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Charges de personnel et frais assimilés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734 488 €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814 053 €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747 956 €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13 468 €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1,8%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022</w:t>
            </w:r>
          </w:p>
        </w:tc>
        <w:tc>
          <w:tcPr>
            <w:tcW w:w="4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Dépenses imprévues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50 000 €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023</w:t>
            </w:r>
          </w:p>
        </w:tc>
        <w:tc>
          <w:tcPr>
            <w:tcW w:w="4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Virement à la section d'investissement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903 709 €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042</w:t>
            </w:r>
          </w:p>
        </w:tc>
        <w:tc>
          <w:tcPr>
            <w:tcW w:w="4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Opérations d'ordre de transfert entre sections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214 271 €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211 575 €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210 125 €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-4 146 €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-1,9%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65</w:t>
            </w:r>
          </w:p>
        </w:tc>
        <w:tc>
          <w:tcPr>
            <w:tcW w:w="4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Autres charges de gestion courante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170 428 €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291 731 €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270 107 €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99 679 €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58,5%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66</w:t>
            </w:r>
          </w:p>
        </w:tc>
        <w:tc>
          <w:tcPr>
            <w:tcW w:w="4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Charges financières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19 320 €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18 174 €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16 666 €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-2 654 €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-13,7%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67</w:t>
            </w:r>
          </w:p>
        </w:tc>
        <w:tc>
          <w:tcPr>
            <w:tcW w:w="4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Charges exceptionnelles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139 335 €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132 624 €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116 746 €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-22 589 €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-16,2%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68</w:t>
            </w:r>
          </w:p>
        </w:tc>
        <w:tc>
          <w:tcPr>
            <w:tcW w:w="4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Dotations aux amortissements et aux provisions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1 000 €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-1 000 €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-100,0%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 Total Dépenses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10 001 560 €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11 348 389 €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10 127 257 €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125 696 €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1,3%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002</w:t>
            </w:r>
          </w:p>
        </w:tc>
        <w:tc>
          <w:tcPr>
            <w:tcW w:w="4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Résultat reporté de fonctionnement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1 717 984 €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1 629 588 €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1 629 588 €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-88 396 €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-5,2%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013</w:t>
            </w:r>
          </w:p>
        </w:tc>
        <w:tc>
          <w:tcPr>
            <w:tcW w:w="4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Atténuations de charges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32 768 €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13 300 €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13 464 €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-19 304 €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-58,9%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042</w:t>
            </w:r>
          </w:p>
        </w:tc>
        <w:tc>
          <w:tcPr>
            <w:tcW w:w="4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Opérations d'ordre de transfert entre sections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15 346 €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15 350 €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15 346 €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70</w:t>
            </w:r>
          </w:p>
        </w:tc>
        <w:tc>
          <w:tcPr>
            <w:tcW w:w="4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D64DC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Produits de</w:t>
            </w:r>
            <w:r w:rsidR="00D64DC9" w:rsidRPr="002E05C9">
              <w:rPr>
                <w:rFonts w:ascii="Calibri" w:eastAsia="Times New Roman" w:hAnsi="Calibri" w:cs="Calibri"/>
                <w:lang w:eastAsia="fr-FR"/>
              </w:rPr>
              <w:t>s services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8 707 168 €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8 502 151 €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8 531 697 €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-175 471 €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-2,0%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75</w:t>
            </w:r>
          </w:p>
        </w:tc>
        <w:tc>
          <w:tcPr>
            <w:tcW w:w="4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Autres produits de gestion courante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1 094 615 €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1 038 000 €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1 197 277 €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102 662 €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9,4%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77</w:t>
            </w:r>
          </w:p>
        </w:tc>
        <w:tc>
          <w:tcPr>
            <w:tcW w:w="4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Produits exceptionnels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63 268 €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150 000 €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191 239 €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127 971 €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202,3%</w:t>
            </w:r>
          </w:p>
        </w:tc>
      </w:tr>
      <w:tr w:rsidR="00832927" w:rsidRPr="002E05C9" w:rsidTr="003B3811">
        <w:trPr>
          <w:trHeight w:val="300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 Total Recettes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11 631 148 €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11 348 389 €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11 578 611 €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-52 538 €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27" w:rsidRPr="002E05C9" w:rsidRDefault="00832927" w:rsidP="00832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-0,5%</w:t>
            </w:r>
          </w:p>
        </w:tc>
      </w:tr>
    </w:tbl>
    <w:p w:rsidR="00CF6595" w:rsidRDefault="00CF6595" w:rsidP="00875C2B">
      <w:pPr>
        <w:pStyle w:val="Titre3"/>
      </w:pPr>
      <w:bookmarkStart w:id="71" w:name="_Toc74317367"/>
      <w:r>
        <w:lastRenderedPageBreak/>
        <w:t>L’analyse</w:t>
      </w:r>
      <w:bookmarkEnd w:id="71"/>
    </w:p>
    <w:p w:rsidR="00170025" w:rsidRPr="00F763B7" w:rsidRDefault="00170025" w:rsidP="005046DF">
      <w:pPr>
        <w:spacing w:after="200" w:line="276" w:lineRule="auto"/>
        <w:jc w:val="both"/>
      </w:pPr>
      <w:r w:rsidRPr="00F763B7">
        <w:t xml:space="preserve">Les éléments à noter sur l’exécution </w:t>
      </w:r>
      <w:r w:rsidR="004F36D9">
        <w:t>de ce</w:t>
      </w:r>
      <w:r w:rsidRPr="00F763B7">
        <w:t xml:space="preserve"> budget</w:t>
      </w:r>
      <w:r w:rsidR="004F36D9">
        <w:t xml:space="preserve"> en</w:t>
      </w:r>
      <w:r w:rsidRPr="00F763B7">
        <w:t xml:space="preserve"> 2020 sont :</w:t>
      </w:r>
    </w:p>
    <w:p w:rsidR="009228F1" w:rsidRPr="00D501D6" w:rsidRDefault="006074C8" w:rsidP="004F36D9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>
        <w:t>Le produit de la re</w:t>
      </w:r>
      <w:r w:rsidR="009228F1" w:rsidRPr="00D501D6">
        <w:t xml:space="preserve">devance facturée </w:t>
      </w:r>
      <w:r>
        <w:t xml:space="preserve">est de </w:t>
      </w:r>
      <w:r w:rsidR="009228F1" w:rsidRPr="00D501D6">
        <w:t>8 </w:t>
      </w:r>
      <w:r w:rsidR="00D501D6" w:rsidRPr="00D501D6">
        <w:t>112</w:t>
      </w:r>
      <w:r w:rsidR="009228F1" w:rsidRPr="00D501D6">
        <w:t xml:space="preserve"> K€ sans augmentation de tarif en 20</w:t>
      </w:r>
      <w:r w:rsidR="00D501D6" w:rsidRPr="00D501D6">
        <w:t>20</w:t>
      </w:r>
      <w:r w:rsidR="00DF019F">
        <w:t xml:space="preserve"> (8 230 K€ en 2019)</w:t>
      </w:r>
      <w:r w:rsidR="009228F1" w:rsidRPr="00D501D6">
        <w:t xml:space="preserve"> ; </w:t>
      </w:r>
    </w:p>
    <w:p w:rsidR="009228F1" w:rsidRPr="00D501D6" w:rsidRDefault="006074C8" w:rsidP="004F36D9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>
        <w:rPr>
          <w:rFonts w:ascii="Calibri" w:hAnsi="Calibri" w:cs="Calibri"/>
        </w:rPr>
        <w:t xml:space="preserve">Le produit des ventes </w:t>
      </w:r>
      <w:r w:rsidR="009228F1" w:rsidRPr="00D501D6">
        <w:t>issue</w:t>
      </w:r>
      <w:r>
        <w:t>s</w:t>
      </w:r>
      <w:r w:rsidR="009228F1" w:rsidRPr="00D501D6">
        <w:t xml:space="preserve"> du recyclage </w:t>
      </w:r>
      <w:r>
        <w:rPr>
          <w:rFonts w:ascii="Calibri" w:hAnsi="Calibri" w:cs="Calibri"/>
        </w:rPr>
        <w:t xml:space="preserve">s’élève </w:t>
      </w:r>
      <w:r>
        <w:t>à</w:t>
      </w:r>
      <w:r w:rsidRPr="00D501D6">
        <w:t xml:space="preserve"> </w:t>
      </w:r>
      <w:r w:rsidR="00D501D6" w:rsidRPr="00D501D6">
        <w:t>356</w:t>
      </w:r>
      <w:r w:rsidR="009228F1" w:rsidRPr="00D501D6">
        <w:t xml:space="preserve"> K€ de recettes encaissées en 20</w:t>
      </w:r>
      <w:r w:rsidR="00D501D6" w:rsidRPr="00D501D6">
        <w:t>20, en diminution de -17% par rapport à 2019</w:t>
      </w:r>
      <w:r w:rsidR="00DF019F">
        <w:t xml:space="preserve"> (430 K€)</w:t>
      </w:r>
      <w:r w:rsidR="00F910DF">
        <w:t xml:space="preserve">. La baisse est liée à la diminution importante des prix </w:t>
      </w:r>
      <w:r w:rsidR="00867860">
        <w:t>d’achat des matières premières (plastique : -32%, acier : -45%...)</w:t>
      </w:r>
    </w:p>
    <w:p w:rsidR="009228F1" w:rsidRDefault="009228F1" w:rsidP="004F36D9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D501D6">
        <w:t>Le</w:t>
      </w:r>
      <w:r w:rsidR="00875C2B">
        <w:t xml:space="preserve"> soutien </w:t>
      </w:r>
      <w:r w:rsidR="00F910DF">
        <w:t>de</w:t>
      </w:r>
      <w:r w:rsidR="006074C8">
        <w:t xml:space="preserve"> CITEO a été de </w:t>
      </w:r>
      <w:r w:rsidR="00D501D6" w:rsidRPr="00D501D6">
        <w:t>1 126</w:t>
      </w:r>
      <w:r w:rsidRPr="00D501D6">
        <w:t xml:space="preserve"> K€ en 20</w:t>
      </w:r>
      <w:r w:rsidR="00D501D6" w:rsidRPr="00D501D6">
        <w:t>20</w:t>
      </w:r>
      <w:r w:rsidRPr="00D501D6">
        <w:t xml:space="preserve"> </w:t>
      </w:r>
      <w:r w:rsidR="00DF019F">
        <w:t>(987 K€ en 2019) </w:t>
      </w:r>
      <w:r w:rsidRPr="00D501D6">
        <w:t>;</w:t>
      </w:r>
    </w:p>
    <w:p w:rsidR="006074C8" w:rsidRPr="00D501D6" w:rsidRDefault="006074C8" w:rsidP="006074C8">
      <w:pPr>
        <w:jc w:val="both"/>
      </w:pPr>
      <w:r>
        <w:t>Ces recettes ont financé les dépenses suivantes :</w:t>
      </w:r>
    </w:p>
    <w:p w:rsidR="006074C8" w:rsidRPr="006074C8" w:rsidRDefault="006074C8" w:rsidP="006074C8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marchés de collecte des déchets pour 2 600 K€, stable,</w:t>
      </w:r>
    </w:p>
    <w:p w:rsidR="006074C8" w:rsidRDefault="006074C8" w:rsidP="006074C8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>
        <w:rPr>
          <w:rFonts w:ascii="Calibri" w:hAnsi="Calibri" w:cs="Calibri"/>
        </w:rPr>
        <w:t xml:space="preserve">Le traitement des déchets via la cotisation au Syndicat Intercommunautaire du Littoral </w:t>
      </w:r>
      <w:r w:rsidRPr="00D501D6">
        <w:t>à hauteur de 3 352 K€</w:t>
      </w:r>
      <w:r w:rsidR="00F910DF">
        <w:t xml:space="preserve"> (3 302 K€ en 2019) ;</w:t>
      </w:r>
    </w:p>
    <w:p w:rsidR="00AC29FC" w:rsidRDefault="00AC29FC" w:rsidP="00AC29F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prestations au centre de tri des emballage</w:t>
      </w:r>
      <w:r w:rsidR="00F910DF">
        <w:rPr>
          <w:rFonts w:ascii="Calibri" w:hAnsi="Calibri" w:cs="Calibri"/>
        </w:rPr>
        <w:t>s estimées à 1 066 K€ (- 34 K€) ;</w:t>
      </w:r>
    </w:p>
    <w:p w:rsidR="00F910DF" w:rsidRDefault="00F910DF" w:rsidP="00F910D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prestations d’enlèvement des bennes des déchetteries pour 863 K€ (- 77 K€) ;</w:t>
      </w:r>
    </w:p>
    <w:p w:rsidR="009228F1" w:rsidRPr="00D501D6" w:rsidRDefault="009228F1" w:rsidP="004F36D9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D501D6">
        <w:t xml:space="preserve">Des annulations de créances éteintes (tribunal, surendettement) et irrécouvrables (poursuites de la Trésorerie infructueuses) pour un montant de </w:t>
      </w:r>
      <w:r w:rsidR="00D501D6" w:rsidRPr="00D501D6">
        <w:t>2</w:t>
      </w:r>
      <w:r w:rsidR="00076AD6" w:rsidRPr="00D501D6">
        <w:t>70</w:t>
      </w:r>
      <w:r w:rsidRPr="00D501D6">
        <w:t xml:space="preserve"> K€ en 20</w:t>
      </w:r>
      <w:r w:rsidR="00D501D6" w:rsidRPr="00D501D6">
        <w:t>20</w:t>
      </w:r>
      <w:r w:rsidR="00DF019F">
        <w:t xml:space="preserve"> (170 K€ en 2019)</w:t>
      </w:r>
      <w:r w:rsidR="00875C2B">
        <w:t> ;</w:t>
      </w:r>
    </w:p>
    <w:p w:rsidR="00D501D6" w:rsidRDefault="00875C2B" w:rsidP="00AC29FC">
      <w:pPr>
        <w:jc w:val="both"/>
      </w:pPr>
      <w:r>
        <w:t>U</w:t>
      </w:r>
      <w:r w:rsidR="00F64FF7">
        <w:t xml:space="preserve">n dégrèvement de la </w:t>
      </w:r>
      <w:r>
        <w:t>Redevance</w:t>
      </w:r>
      <w:r w:rsidR="00F64FF7">
        <w:t xml:space="preserve"> a été accordé aux professionnels n’ayant pas d’activité pendant le confinement. Pour ne pas faire supporter cette perte de recettes sur les </w:t>
      </w:r>
      <w:r>
        <w:t xml:space="preserve">autres </w:t>
      </w:r>
      <w:r w:rsidR="00F64FF7">
        <w:t>usagers, le budget principal a alloué une subv</w:t>
      </w:r>
      <w:r>
        <w:t>ention exceptionnelle de 150 K€ ;</w:t>
      </w:r>
    </w:p>
    <w:p w:rsidR="009228F1" w:rsidRPr="00832927" w:rsidRDefault="009228F1" w:rsidP="00875C2B">
      <w:pPr>
        <w:pStyle w:val="Paragraphedeliste"/>
        <w:numPr>
          <w:ilvl w:val="0"/>
          <w:numId w:val="4"/>
        </w:numPr>
        <w:spacing w:after="0"/>
        <w:ind w:left="714" w:hanging="357"/>
        <w:contextualSpacing w:val="0"/>
        <w:jc w:val="both"/>
      </w:pPr>
      <w:r w:rsidRPr="00D501D6">
        <w:t xml:space="preserve">Des dépenses d’équipement </w:t>
      </w:r>
      <w:r w:rsidR="00D501D6" w:rsidRPr="00D501D6">
        <w:t xml:space="preserve">ont été </w:t>
      </w:r>
      <w:r w:rsidRPr="00D501D6">
        <w:t xml:space="preserve">réalisées à hauteur de </w:t>
      </w:r>
      <w:r w:rsidR="00832927" w:rsidRPr="00D501D6">
        <w:t>148</w:t>
      </w:r>
      <w:r w:rsidRPr="00D501D6">
        <w:t xml:space="preserve"> K€ en 20</w:t>
      </w:r>
      <w:r w:rsidR="00832927" w:rsidRPr="00D501D6">
        <w:t>20</w:t>
      </w:r>
      <w:r w:rsidR="00875C2B">
        <w:t> :</w:t>
      </w:r>
    </w:p>
    <w:tbl>
      <w:tblPr>
        <w:tblW w:w="7837" w:type="dxa"/>
        <w:jc w:val="center"/>
        <w:tblInd w:w="-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6"/>
        <w:gridCol w:w="1619"/>
        <w:gridCol w:w="1852"/>
      </w:tblGrid>
      <w:tr w:rsidR="00D64DC9" w:rsidRPr="002E05C9" w:rsidTr="00A6448D">
        <w:trPr>
          <w:trHeight w:val="255"/>
          <w:jc w:val="center"/>
        </w:trPr>
        <w:tc>
          <w:tcPr>
            <w:tcW w:w="436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Mandaté 2020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Reports de 2020</w:t>
            </w:r>
          </w:p>
        </w:tc>
      </w:tr>
      <w:tr w:rsidR="00D64DC9" w:rsidRPr="002E05C9" w:rsidTr="00A6448D">
        <w:trPr>
          <w:trHeight w:val="255"/>
          <w:jc w:val="center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Collecte sélective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83 799 €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35 429 €</w:t>
            </w:r>
          </w:p>
        </w:tc>
      </w:tr>
      <w:tr w:rsidR="00D64DC9" w:rsidRPr="002E05C9" w:rsidTr="00A6448D">
        <w:trPr>
          <w:trHeight w:val="255"/>
          <w:jc w:val="center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Composteurs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32 457 €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</w:tr>
      <w:tr w:rsidR="00D64DC9" w:rsidRPr="002E05C9" w:rsidTr="00A6448D">
        <w:trPr>
          <w:trHeight w:val="255"/>
          <w:jc w:val="center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Déchetterie Rochefort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8 056 €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1 190 €</w:t>
            </w:r>
          </w:p>
        </w:tc>
      </w:tr>
      <w:tr w:rsidR="00D64DC9" w:rsidRPr="002E05C9" w:rsidTr="00A6448D">
        <w:trPr>
          <w:trHeight w:val="255"/>
          <w:jc w:val="center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Déchetterie Ile d’Aix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8 000 €</w:t>
            </w:r>
          </w:p>
        </w:tc>
      </w:tr>
      <w:tr w:rsidR="00D64DC9" w:rsidRPr="002E05C9" w:rsidTr="00A6448D">
        <w:trPr>
          <w:trHeight w:val="255"/>
          <w:jc w:val="center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Déchetterie St Jean d'Angle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7 000 €</w:t>
            </w:r>
          </w:p>
        </w:tc>
      </w:tr>
      <w:tr w:rsidR="00875C2B" w:rsidRPr="002E05C9" w:rsidTr="00875C2B">
        <w:trPr>
          <w:trHeight w:val="255"/>
          <w:jc w:val="center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2B" w:rsidRPr="002E05C9" w:rsidRDefault="00875C2B" w:rsidP="00875C2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 xml:space="preserve">Déchetterie </w:t>
            </w:r>
            <w:proofErr w:type="spellStart"/>
            <w:r w:rsidRPr="002E05C9">
              <w:rPr>
                <w:rFonts w:eastAsia="Times New Roman" w:cstheme="minorHAnsi"/>
                <w:lang w:eastAsia="fr-FR"/>
              </w:rPr>
              <w:t>Echillais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2B" w:rsidRPr="002E05C9" w:rsidRDefault="00875C2B" w:rsidP="00875C2B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2B" w:rsidRPr="002E05C9" w:rsidRDefault="00875C2B" w:rsidP="00875C2B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3 514 €</w:t>
            </w:r>
          </w:p>
        </w:tc>
      </w:tr>
      <w:tr w:rsidR="00875C2B" w:rsidRPr="002E05C9" w:rsidTr="00875C2B">
        <w:trPr>
          <w:trHeight w:val="255"/>
          <w:jc w:val="center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2B" w:rsidRPr="002E05C9" w:rsidRDefault="00875C2B" w:rsidP="00875C2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Divers équipements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2B" w:rsidRPr="002E05C9" w:rsidRDefault="00875C2B" w:rsidP="00875C2B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23 990 €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2B" w:rsidRPr="002E05C9" w:rsidRDefault="00875C2B" w:rsidP="00875C2B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55 393 €</w:t>
            </w:r>
          </w:p>
        </w:tc>
      </w:tr>
      <w:tr w:rsidR="00D64DC9" w:rsidRPr="002E05C9" w:rsidTr="00A6448D">
        <w:trPr>
          <w:trHeight w:val="255"/>
          <w:jc w:val="center"/>
        </w:trPr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148 301 €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DC9" w:rsidRPr="002E05C9" w:rsidRDefault="00D64DC9" w:rsidP="00D64DC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110 526 €</w:t>
            </w:r>
          </w:p>
        </w:tc>
      </w:tr>
    </w:tbl>
    <w:p w:rsidR="00FD405D" w:rsidRDefault="00FD405D" w:rsidP="0091218C">
      <w:pPr>
        <w:spacing w:after="0" w:line="240" w:lineRule="auto"/>
      </w:pPr>
    </w:p>
    <w:p w:rsidR="00B077B0" w:rsidRDefault="00B077B0" w:rsidP="0091218C">
      <w:pPr>
        <w:spacing w:after="0" w:line="240" w:lineRule="auto"/>
      </w:pPr>
    </w:p>
    <w:p w:rsidR="00B077B0" w:rsidRDefault="00B077B0" w:rsidP="0091218C">
      <w:pPr>
        <w:spacing w:after="0" w:line="240" w:lineRule="auto"/>
      </w:pPr>
    </w:p>
    <w:p w:rsidR="00B077B0" w:rsidRDefault="00B077B0">
      <w:pPr>
        <w:spacing w:after="200" w:line="276" w:lineRule="auto"/>
        <w:rPr>
          <w:rFonts w:eastAsiaTheme="majorEastAsia" w:cstheme="majorBidi"/>
          <w:b/>
          <w:bCs/>
          <w:color w:val="4F81BD" w:themeColor="accent1"/>
          <w:sz w:val="24"/>
        </w:rPr>
      </w:pPr>
      <w:r>
        <w:br w:type="page"/>
      </w:r>
    </w:p>
    <w:p w:rsidR="0091218C" w:rsidRPr="00170025" w:rsidRDefault="0091218C" w:rsidP="00875C2B">
      <w:pPr>
        <w:pStyle w:val="Titre3"/>
      </w:pPr>
      <w:bookmarkStart w:id="72" w:name="_Toc74317368"/>
      <w:r w:rsidRPr="00170025">
        <w:lastRenderedPageBreak/>
        <w:t>Le résultat 20</w:t>
      </w:r>
      <w:r w:rsidR="00170025" w:rsidRPr="00170025">
        <w:t>20</w:t>
      </w:r>
      <w:r w:rsidRPr="00170025">
        <w:t xml:space="preserve"> et son affectation</w:t>
      </w:r>
      <w:bookmarkEnd w:id="72"/>
    </w:p>
    <w:tbl>
      <w:tblPr>
        <w:tblW w:w="790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794"/>
        <w:gridCol w:w="1661"/>
      </w:tblGrid>
      <w:tr w:rsidR="00170025" w:rsidRPr="002E05C9" w:rsidTr="00875C2B">
        <w:trPr>
          <w:trHeight w:val="255"/>
          <w:jc w:val="center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70025" w:rsidRPr="002E05C9" w:rsidRDefault="00170025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AFFECTATION DU RESULTAT DE FONCTIONNEMENT 2020</w:t>
            </w:r>
          </w:p>
        </w:tc>
      </w:tr>
      <w:tr w:rsidR="00170025" w:rsidRPr="002E05C9" w:rsidTr="00875C2B">
        <w:trPr>
          <w:trHeight w:val="255"/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25" w:rsidRPr="002E05C9" w:rsidRDefault="00170025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FONCTIONNEMENT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25" w:rsidRPr="002E05C9" w:rsidRDefault="00170025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25" w:rsidRPr="002E05C9" w:rsidRDefault="00170025" w:rsidP="00170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9432F" w:rsidRPr="002E05C9" w:rsidTr="00875C2B">
        <w:trPr>
          <w:trHeight w:val="255"/>
          <w:jc w:val="center"/>
        </w:trPr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1 629 587,92 €</w:t>
            </w:r>
          </w:p>
        </w:tc>
      </w:tr>
      <w:tr w:rsidR="0009432F" w:rsidRPr="002E05C9" w:rsidTr="00875C2B">
        <w:trPr>
          <w:trHeight w:val="255"/>
          <w:jc w:val="center"/>
        </w:trPr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-178 234,04 €</w:t>
            </w:r>
          </w:p>
        </w:tc>
      </w:tr>
      <w:tr w:rsidR="0009432F" w:rsidRPr="002E05C9" w:rsidTr="00875C2B">
        <w:trPr>
          <w:trHeight w:val="255"/>
          <w:jc w:val="center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= Résultat à affecter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1 451 353,88 €</w:t>
            </w:r>
          </w:p>
        </w:tc>
      </w:tr>
      <w:tr w:rsidR="0009432F" w:rsidRPr="002E05C9" w:rsidTr="00875C2B">
        <w:trPr>
          <w:trHeight w:val="255"/>
          <w:jc w:val="center"/>
        </w:trPr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INVESTISSEMENT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 </w:t>
            </w:r>
          </w:p>
        </w:tc>
      </w:tr>
      <w:tr w:rsidR="0009432F" w:rsidRPr="002E05C9" w:rsidTr="00875C2B">
        <w:trPr>
          <w:trHeight w:val="255"/>
          <w:jc w:val="center"/>
        </w:trPr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323 980,17 €</w:t>
            </w:r>
          </w:p>
        </w:tc>
      </w:tr>
      <w:tr w:rsidR="0009432F" w:rsidRPr="002E05C9" w:rsidTr="00875C2B">
        <w:trPr>
          <w:trHeight w:val="255"/>
          <w:jc w:val="center"/>
        </w:trPr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-26 470,77 €</w:t>
            </w:r>
          </w:p>
        </w:tc>
      </w:tr>
      <w:tr w:rsidR="0009432F" w:rsidRPr="002E05C9" w:rsidTr="00875C2B">
        <w:trPr>
          <w:trHeight w:val="255"/>
          <w:jc w:val="center"/>
        </w:trPr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= Résultat cumulé à reporter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 001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297 509,40 €</w:t>
            </w:r>
          </w:p>
        </w:tc>
      </w:tr>
      <w:tr w:rsidR="0009432F" w:rsidRPr="002E05C9" w:rsidTr="00875C2B">
        <w:trPr>
          <w:trHeight w:val="255"/>
          <w:jc w:val="center"/>
        </w:trPr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Solde des restes à réaliser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-110 526,35 €</w:t>
            </w:r>
          </w:p>
        </w:tc>
      </w:tr>
      <w:tr w:rsidR="0009432F" w:rsidRPr="002E05C9" w:rsidTr="00875C2B">
        <w:trPr>
          <w:trHeight w:val="255"/>
          <w:jc w:val="center"/>
        </w:trPr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= </w:t>
            </w:r>
            <w:r w:rsidR="00F50654"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Capacité</w:t>
            </w: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de financement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186 983,05 €</w:t>
            </w:r>
          </w:p>
        </w:tc>
      </w:tr>
      <w:tr w:rsidR="0009432F" w:rsidRPr="002E05C9" w:rsidTr="00875C2B">
        <w:trPr>
          <w:trHeight w:val="255"/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AFFECTATION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 </w:t>
            </w:r>
          </w:p>
        </w:tc>
      </w:tr>
      <w:tr w:rsidR="0009432F" w:rsidRPr="002E05C9" w:rsidTr="00875C2B">
        <w:trPr>
          <w:trHeight w:val="255"/>
          <w:jc w:val="center"/>
        </w:trPr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Couverture du besoin de financement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 1068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F50654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0,00</w:t>
            </w:r>
            <w:r w:rsidR="0009432F" w:rsidRPr="002E05C9">
              <w:rPr>
                <w:rFonts w:ascii="Calibri" w:hAnsi="Calibri" w:cs="Calibri"/>
              </w:rPr>
              <w:t xml:space="preserve"> €</w:t>
            </w:r>
          </w:p>
        </w:tc>
      </w:tr>
      <w:tr w:rsidR="0009432F" w:rsidRPr="002E05C9" w:rsidTr="00875C2B">
        <w:trPr>
          <w:trHeight w:val="255"/>
          <w:jc w:val="center"/>
        </w:trPr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Excédent de fonctionnement restant à reporter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 002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A1F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1 451 353,88</w:t>
            </w:r>
            <w:r w:rsidR="0009432F" w:rsidRPr="002E05C9">
              <w:rPr>
                <w:rFonts w:ascii="Calibri" w:hAnsi="Calibri" w:cs="Calibri"/>
              </w:rPr>
              <w:t xml:space="preserve"> €</w:t>
            </w:r>
          </w:p>
        </w:tc>
      </w:tr>
      <w:tr w:rsidR="0009432F" w:rsidRPr="002E05C9" w:rsidTr="00875C2B">
        <w:trPr>
          <w:trHeight w:val="255"/>
          <w:jc w:val="center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Solde des restes à réaliser de fonctionnement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-66 876,25 €</w:t>
            </w:r>
          </w:p>
        </w:tc>
      </w:tr>
      <w:tr w:rsidR="0009432F" w:rsidRPr="002E05C9" w:rsidTr="00875C2B">
        <w:trPr>
          <w:trHeight w:val="255"/>
          <w:jc w:val="center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RESULTAT GLOBAL 2020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A1F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1 384 477.63</w:t>
            </w:r>
            <w:bookmarkStart w:id="73" w:name="_GoBack"/>
            <w:bookmarkEnd w:id="73"/>
            <w:r w:rsidR="0009432F" w:rsidRPr="002E05C9">
              <w:rPr>
                <w:rFonts w:ascii="Calibri" w:hAnsi="Calibri" w:cs="Calibri"/>
                <w:b/>
                <w:bCs/>
              </w:rPr>
              <w:t xml:space="preserve"> €</w:t>
            </w:r>
          </w:p>
        </w:tc>
      </w:tr>
    </w:tbl>
    <w:p w:rsidR="00B077B0" w:rsidRDefault="00B077B0">
      <w:pPr>
        <w:spacing w:after="200" w:line="276" w:lineRule="auto"/>
        <w:rPr>
          <w:rFonts w:eastAsiaTheme="majorEastAsia" w:cstheme="majorBidi"/>
          <w:b/>
          <w:bCs/>
          <w:color w:val="4F81BD" w:themeColor="accent1"/>
          <w:sz w:val="28"/>
          <w:szCs w:val="26"/>
        </w:rPr>
      </w:pPr>
      <w:r>
        <w:br w:type="page"/>
      </w:r>
    </w:p>
    <w:p w:rsidR="0080541E" w:rsidRDefault="0080541E" w:rsidP="0080541E">
      <w:pPr>
        <w:pStyle w:val="Titre2"/>
      </w:pPr>
      <w:bookmarkStart w:id="74" w:name="_Toc74317369"/>
      <w:r>
        <w:lastRenderedPageBreak/>
        <w:t>Eau</w:t>
      </w:r>
      <w:bookmarkEnd w:id="74"/>
    </w:p>
    <w:p w:rsidR="000E1CBD" w:rsidRDefault="00B97B5D" w:rsidP="005046DF">
      <w:pPr>
        <w:spacing w:after="200" w:line="276" w:lineRule="auto"/>
        <w:jc w:val="both"/>
      </w:pPr>
      <w:r w:rsidRPr="00170025">
        <w:t>Ce budget retrace les opérations liées à la gestion et la distribution de l’eau potable</w:t>
      </w:r>
      <w:r w:rsidR="000E1CBD">
        <w:t>.</w:t>
      </w:r>
    </w:p>
    <w:p w:rsidR="00170025" w:rsidRPr="00170025" w:rsidRDefault="00E30F6B" w:rsidP="005046DF">
      <w:pPr>
        <w:spacing w:after="200" w:line="276" w:lineRule="auto"/>
        <w:jc w:val="both"/>
      </w:pPr>
      <w:r>
        <w:t>La Ville de Rochefort gérait le réseau d’eau communal en régie. Depuis le transfert de compétences, L</w:t>
      </w:r>
      <w:r w:rsidR="00B97B5D" w:rsidRPr="00170025">
        <w:t xml:space="preserve">a </w:t>
      </w:r>
      <w:r>
        <w:t xml:space="preserve">CARO a en charge ce dernier. Pour les autres communes de la CARO, la gestion est déléguée au SDE </w:t>
      </w:r>
      <w:proofErr w:type="spellStart"/>
      <w:r>
        <w:t>Eau</w:t>
      </w:r>
      <w:proofErr w:type="spellEnd"/>
      <w:r>
        <w:t xml:space="preserve"> 17</w:t>
      </w:r>
      <w:r w:rsidR="00B97B5D" w:rsidRPr="00170025">
        <w:t xml:space="preserve">. </w:t>
      </w:r>
    </w:p>
    <w:p w:rsidR="00B97B5D" w:rsidRPr="00170025" w:rsidRDefault="00B97B5D" w:rsidP="005046DF">
      <w:pPr>
        <w:spacing w:after="200" w:line="276" w:lineRule="auto"/>
        <w:jc w:val="both"/>
      </w:pPr>
      <w:r w:rsidRPr="00170025">
        <w:t>Les opérations réalisées en 20</w:t>
      </w:r>
      <w:r w:rsidR="00170025" w:rsidRPr="00170025">
        <w:t>20</w:t>
      </w:r>
      <w:r w:rsidRPr="00170025">
        <w:t xml:space="preserve"> sont présentées ci-dessous :</w:t>
      </w:r>
    </w:p>
    <w:tbl>
      <w:tblPr>
        <w:tblW w:w="10848" w:type="dxa"/>
        <w:jc w:val="center"/>
        <w:tblInd w:w="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270"/>
        <w:gridCol w:w="1308"/>
        <w:gridCol w:w="1240"/>
        <w:gridCol w:w="1240"/>
        <w:gridCol w:w="1208"/>
        <w:gridCol w:w="997"/>
      </w:tblGrid>
      <w:tr w:rsidR="00F52DAA" w:rsidRPr="002E05C9" w:rsidTr="00A6448D">
        <w:trPr>
          <w:trHeight w:val="255"/>
          <w:jc w:val="center"/>
        </w:trPr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Investissement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BUDGETE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EVOLUTION</w:t>
            </w:r>
          </w:p>
        </w:tc>
      </w:tr>
      <w:tr w:rsidR="00F52DAA" w:rsidRPr="002E05C9" w:rsidTr="00A6448D">
        <w:trPr>
          <w:trHeight w:val="255"/>
          <w:jc w:val="center"/>
        </w:trPr>
        <w:tc>
          <w:tcPr>
            <w:tcW w:w="485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2020-2019</w:t>
            </w:r>
          </w:p>
        </w:tc>
      </w:tr>
      <w:tr w:rsidR="00F52DAA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001</w:t>
            </w:r>
          </w:p>
        </w:tc>
        <w:tc>
          <w:tcPr>
            <w:tcW w:w="42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Résultat reporte d'investissement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348 307 €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77 409 €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77 409 €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-270 899 €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-77,8%</w:t>
            </w:r>
          </w:p>
        </w:tc>
      </w:tr>
      <w:tr w:rsidR="00F52DAA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020</w:t>
            </w:r>
          </w:p>
        </w:tc>
        <w:tc>
          <w:tcPr>
            <w:tcW w:w="4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Dépenses imprévues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F52DAA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041</w:t>
            </w:r>
          </w:p>
        </w:tc>
        <w:tc>
          <w:tcPr>
            <w:tcW w:w="4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Operations patrimoniales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15 000 €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20 000 €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13 656 €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-1 344 €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-9,0%</w:t>
            </w:r>
          </w:p>
        </w:tc>
      </w:tr>
      <w:tr w:rsidR="00F52DAA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16</w:t>
            </w:r>
          </w:p>
        </w:tc>
        <w:tc>
          <w:tcPr>
            <w:tcW w:w="4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Emprunts et dettes assimilés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402 519 €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422 850 €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405 771 €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3 252 €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0,8%</w:t>
            </w:r>
          </w:p>
        </w:tc>
      </w:tr>
      <w:tr w:rsidR="00F52DAA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20</w:t>
            </w:r>
          </w:p>
        </w:tc>
        <w:tc>
          <w:tcPr>
            <w:tcW w:w="4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Immobilisations incorporelles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24 658 €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124 297 €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67 204 €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42 547 €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172,6%</w:t>
            </w:r>
          </w:p>
        </w:tc>
      </w:tr>
      <w:tr w:rsidR="00F52DAA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21</w:t>
            </w:r>
          </w:p>
        </w:tc>
        <w:tc>
          <w:tcPr>
            <w:tcW w:w="4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Immobilisations corporelles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491 566 €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915 777 €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449 086 €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-42 480 €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-8,6%</w:t>
            </w:r>
          </w:p>
        </w:tc>
      </w:tr>
      <w:tr w:rsidR="00F52DAA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23</w:t>
            </w:r>
          </w:p>
        </w:tc>
        <w:tc>
          <w:tcPr>
            <w:tcW w:w="4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Immobilisations en cours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15 000 €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20 000 €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-15 000 €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-100,0%</w:t>
            </w:r>
          </w:p>
        </w:tc>
      </w:tr>
      <w:tr w:rsidR="00F52DAA" w:rsidRPr="002E05C9" w:rsidTr="00D64DC9">
        <w:trPr>
          <w:trHeight w:val="255"/>
          <w:jc w:val="center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Total Dépenses 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1 297 050 €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1 585 333 €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1 013 126 €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-283 924 €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-21,9%</w:t>
            </w:r>
          </w:p>
        </w:tc>
      </w:tr>
      <w:tr w:rsidR="00F52DAA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021</w:t>
            </w:r>
          </w:p>
        </w:tc>
        <w:tc>
          <w:tcPr>
            <w:tcW w:w="42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Virement de la section de fonctionnement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353 047 €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F52DAA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040</w:t>
            </w:r>
          </w:p>
        </w:tc>
        <w:tc>
          <w:tcPr>
            <w:tcW w:w="4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Opérations d'ordre de transfert entre sections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368 830 €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460 385 €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474 041 €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105 211 €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28,5%</w:t>
            </w:r>
          </w:p>
        </w:tc>
      </w:tr>
      <w:tr w:rsidR="00F52DAA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041</w:t>
            </w:r>
          </w:p>
        </w:tc>
        <w:tc>
          <w:tcPr>
            <w:tcW w:w="4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Opérations patrimoniales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15 000 €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20 000 €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13 656 €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-1 344 €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-9,0%</w:t>
            </w:r>
          </w:p>
        </w:tc>
      </w:tr>
      <w:tr w:rsidR="00F52DAA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10</w:t>
            </w:r>
          </w:p>
        </w:tc>
        <w:tc>
          <w:tcPr>
            <w:tcW w:w="4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Dotations, fonds divers et réserves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549 643 €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400 869 €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400 869 €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-148 775 €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-27,1%</w:t>
            </w:r>
          </w:p>
        </w:tc>
      </w:tr>
      <w:tr w:rsidR="00F52DAA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13</w:t>
            </w:r>
          </w:p>
        </w:tc>
        <w:tc>
          <w:tcPr>
            <w:tcW w:w="4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Subventions d'investissement reçues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36 167 €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40 615 €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-36 167 €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-100,0%</w:t>
            </w:r>
          </w:p>
        </w:tc>
      </w:tr>
      <w:tr w:rsidR="00F52DAA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16</w:t>
            </w:r>
          </w:p>
        </w:tc>
        <w:tc>
          <w:tcPr>
            <w:tcW w:w="4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Emprunts et dettes assimilés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250 000 €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310 418 €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-250 000 €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-100,0%</w:t>
            </w:r>
          </w:p>
        </w:tc>
      </w:tr>
      <w:tr w:rsidR="00F52DAA" w:rsidRPr="002E05C9" w:rsidTr="00D64DC9">
        <w:trPr>
          <w:trHeight w:val="255"/>
          <w:jc w:val="center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Total Recettes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1 219 641 €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1 585 333 €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888 565 €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-331 076 €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-27,2%</w:t>
            </w:r>
          </w:p>
        </w:tc>
      </w:tr>
    </w:tbl>
    <w:p w:rsidR="00F52DAA" w:rsidRDefault="00F52DAA" w:rsidP="00B97B5D">
      <w:pPr>
        <w:spacing w:after="0" w:line="240" w:lineRule="auto"/>
        <w:jc w:val="both"/>
      </w:pPr>
    </w:p>
    <w:tbl>
      <w:tblPr>
        <w:tblW w:w="1088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937"/>
        <w:gridCol w:w="1499"/>
        <w:gridCol w:w="1240"/>
        <w:gridCol w:w="1240"/>
        <w:gridCol w:w="1375"/>
        <w:gridCol w:w="1008"/>
      </w:tblGrid>
      <w:tr w:rsidR="00F52DAA" w:rsidRPr="002E05C9" w:rsidTr="00875C2B">
        <w:trPr>
          <w:trHeight w:val="255"/>
          <w:jc w:val="center"/>
        </w:trPr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Fonctionnement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BUDGETE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EVOLUTION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2020-2019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011</w:t>
            </w:r>
          </w:p>
        </w:tc>
        <w:tc>
          <w:tcPr>
            <w:tcW w:w="393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Charges à caractère général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5 745 071 €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4 147 870 €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3 663 828 €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-2 081 242 €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-36,2%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012</w:t>
            </w:r>
          </w:p>
        </w:tc>
        <w:tc>
          <w:tcPr>
            <w:tcW w:w="39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Charges de personnel et frais assimiles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425 279 €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429 683 €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405 721 €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-19 558 €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-4,6%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014</w:t>
            </w:r>
          </w:p>
        </w:tc>
        <w:tc>
          <w:tcPr>
            <w:tcW w:w="39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Atténuations de produits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294 676 €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373 200 €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348 962 €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54 286 €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18,4%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022</w:t>
            </w:r>
          </w:p>
        </w:tc>
        <w:tc>
          <w:tcPr>
            <w:tcW w:w="39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Dépenses imprévues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023</w:t>
            </w:r>
          </w:p>
        </w:tc>
        <w:tc>
          <w:tcPr>
            <w:tcW w:w="39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 xml:space="preserve">Virement </w:t>
            </w:r>
            <w:r w:rsidR="003009C2" w:rsidRPr="002E05C9">
              <w:rPr>
                <w:rFonts w:eastAsia="Times New Roman" w:cstheme="minorHAnsi"/>
                <w:lang w:eastAsia="fr-FR"/>
              </w:rPr>
              <w:t>à</w:t>
            </w:r>
            <w:r w:rsidRPr="002E05C9">
              <w:rPr>
                <w:rFonts w:eastAsia="Times New Roman" w:cstheme="minorHAnsi"/>
                <w:lang w:eastAsia="fr-FR"/>
              </w:rPr>
              <w:t xml:space="preserve"> la section d'investissement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353 047 €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042</w:t>
            </w:r>
          </w:p>
        </w:tc>
        <w:tc>
          <w:tcPr>
            <w:tcW w:w="39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Operations d'ordre de transfert entre sections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368 830 €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460 385 €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474 041 €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105 211 €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28,5%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65</w:t>
            </w:r>
          </w:p>
        </w:tc>
        <w:tc>
          <w:tcPr>
            <w:tcW w:w="39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Autres charges de gestion courante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8 868 €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33 620 €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24 430 €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15 563 €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175,5%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66</w:t>
            </w:r>
          </w:p>
        </w:tc>
        <w:tc>
          <w:tcPr>
            <w:tcW w:w="39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Charges financières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74 614 €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71 857 €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64 907 €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-9 707 €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-13,0%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67</w:t>
            </w:r>
          </w:p>
        </w:tc>
        <w:tc>
          <w:tcPr>
            <w:tcW w:w="39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Charges exceptionnelles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17 092 €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50 000 €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39 983 €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22 891 €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133,9%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Total Dépenses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6 934 429 €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5 924 662 €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5 021 872 €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-1 912 557 €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-27,6%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002</w:t>
            </w:r>
          </w:p>
        </w:tc>
        <w:tc>
          <w:tcPr>
            <w:tcW w:w="393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3009C2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Résultat</w:t>
            </w:r>
            <w:r w:rsidR="00F52DAA" w:rsidRPr="002E05C9">
              <w:rPr>
                <w:rFonts w:eastAsia="Times New Roman" w:cstheme="minorHAnsi"/>
                <w:lang w:eastAsia="fr-FR"/>
              </w:rPr>
              <w:t xml:space="preserve"> reporte de fonctionnement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95 946 €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380 929 €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380 929 €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284 983 €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297,0%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013</w:t>
            </w:r>
          </w:p>
        </w:tc>
        <w:tc>
          <w:tcPr>
            <w:tcW w:w="39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3009C2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Atténuations</w:t>
            </w:r>
            <w:r w:rsidR="00F52DAA" w:rsidRPr="002E05C9">
              <w:rPr>
                <w:rFonts w:eastAsia="Times New Roman" w:cstheme="minorHAnsi"/>
                <w:lang w:eastAsia="fr-FR"/>
              </w:rPr>
              <w:t xml:space="preserve"> de charges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7 915 €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2 637 €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3 647 €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-4 268 €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-53,9%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70</w:t>
            </w:r>
          </w:p>
        </w:tc>
        <w:tc>
          <w:tcPr>
            <w:tcW w:w="39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Produits de services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5 415 372 €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5 406 096 €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5 340 001 €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-75 370 €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-1,4%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75</w:t>
            </w:r>
          </w:p>
        </w:tc>
        <w:tc>
          <w:tcPr>
            <w:tcW w:w="39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Autres produits de gestion courante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2 €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-26,1%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77</w:t>
            </w:r>
          </w:p>
        </w:tc>
        <w:tc>
          <w:tcPr>
            <w:tcW w:w="39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Produits exceptionnels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5 300 €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135 000 €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147 587 €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142 287 €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2 684,5%</w:t>
            </w:r>
          </w:p>
        </w:tc>
      </w:tr>
      <w:tr w:rsidR="00F52DAA" w:rsidRPr="002E05C9" w:rsidTr="00875C2B">
        <w:trPr>
          <w:trHeight w:val="255"/>
          <w:jc w:val="center"/>
        </w:trPr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Total Recettes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5 524 536 €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5 924 662 €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5 872 166 €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347 631 €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A" w:rsidRPr="002E05C9" w:rsidRDefault="00F52DAA" w:rsidP="00F52DAA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fr-FR"/>
              </w:rPr>
            </w:pPr>
            <w:r w:rsidRPr="002E05C9">
              <w:rPr>
                <w:rFonts w:eastAsia="Times New Roman" w:cstheme="minorHAnsi"/>
                <w:b/>
                <w:lang w:eastAsia="fr-FR"/>
              </w:rPr>
              <w:t>6,3%</w:t>
            </w:r>
          </w:p>
        </w:tc>
      </w:tr>
    </w:tbl>
    <w:p w:rsidR="00ED4AB4" w:rsidRPr="003009C2" w:rsidRDefault="00ED4AB4" w:rsidP="003C78D6">
      <w:pPr>
        <w:spacing w:after="0" w:line="240" w:lineRule="auto"/>
        <w:jc w:val="both"/>
      </w:pPr>
    </w:p>
    <w:p w:rsidR="00174811" w:rsidRDefault="003C78D6" w:rsidP="00E30F6B">
      <w:pPr>
        <w:spacing w:after="200" w:line="276" w:lineRule="auto"/>
        <w:jc w:val="both"/>
      </w:pPr>
      <w:r w:rsidRPr="003009C2">
        <w:t xml:space="preserve">Les reports d’investissement s’élèvent à </w:t>
      </w:r>
      <w:r w:rsidR="003009C2" w:rsidRPr="003009C2">
        <w:t>498</w:t>
      </w:r>
      <w:r w:rsidRPr="003009C2">
        <w:t xml:space="preserve"> K€ en dépenses et </w:t>
      </w:r>
      <w:r w:rsidR="003009C2" w:rsidRPr="003009C2">
        <w:t>291</w:t>
      </w:r>
      <w:r w:rsidRPr="003009C2">
        <w:t xml:space="preserve"> K€ en recettes (subventions</w:t>
      </w:r>
      <w:r w:rsidR="003009C2" w:rsidRPr="003009C2">
        <w:t xml:space="preserve"> et emprunts</w:t>
      </w:r>
      <w:r w:rsidRPr="003009C2">
        <w:t>).</w:t>
      </w:r>
      <w:r w:rsidR="00174811">
        <w:br w:type="page"/>
      </w:r>
    </w:p>
    <w:p w:rsidR="00CF6595" w:rsidRDefault="00CF6595" w:rsidP="00875C2B">
      <w:pPr>
        <w:pStyle w:val="Titre3"/>
      </w:pPr>
      <w:bookmarkStart w:id="75" w:name="_Toc74317370"/>
      <w:r>
        <w:lastRenderedPageBreak/>
        <w:t>L’analyse</w:t>
      </w:r>
      <w:bookmarkEnd w:id="75"/>
    </w:p>
    <w:p w:rsidR="00170025" w:rsidRPr="00F763B7" w:rsidRDefault="00170025" w:rsidP="005046DF">
      <w:pPr>
        <w:spacing w:after="200" w:line="276" w:lineRule="auto"/>
        <w:jc w:val="both"/>
      </w:pPr>
      <w:r w:rsidRPr="00F763B7">
        <w:t>Les éléments à noter sur l’exécution du budget 2020 sont :</w:t>
      </w:r>
    </w:p>
    <w:p w:rsidR="00EE3FD8" w:rsidRPr="00D80393" w:rsidRDefault="00EE3FD8" w:rsidP="00875C2B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D80393">
        <w:t>La vente d’eau aux abonnés à hauteur de 2 </w:t>
      </w:r>
      <w:r w:rsidR="00D80393" w:rsidRPr="00D80393">
        <w:t>347</w:t>
      </w:r>
      <w:r w:rsidRPr="00D80393">
        <w:t xml:space="preserve"> K€ en 20</w:t>
      </w:r>
      <w:r w:rsidR="00D80393" w:rsidRPr="00D80393">
        <w:t>20</w:t>
      </w:r>
      <w:r w:rsidRPr="00D80393">
        <w:t> ;</w:t>
      </w:r>
    </w:p>
    <w:p w:rsidR="00EE3FD8" w:rsidRPr="00D80393" w:rsidRDefault="00EE3FD8" w:rsidP="00875C2B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D80393">
        <w:t>La redevance pour pollution d’origine domestique facturée pour 4</w:t>
      </w:r>
      <w:r w:rsidR="00D80393" w:rsidRPr="00D80393">
        <w:t>27</w:t>
      </w:r>
      <w:r w:rsidRPr="00D80393">
        <w:t xml:space="preserve"> K€ (elle sera reversée entièrement à l’Agence de l’Eau Adour Garonne</w:t>
      </w:r>
      <w:r w:rsidR="00875C2B">
        <w:t xml:space="preserve"> en 2021</w:t>
      </w:r>
      <w:r w:rsidRPr="00D80393">
        <w:t>) ;</w:t>
      </w:r>
    </w:p>
    <w:p w:rsidR="00EE3FD8" w:rsidRPr="00D80393" w:rsidRDefault="00EE3FD8" w:rsidP="00875C2B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D80393">
        <w:t>L’encaissement de la part Assainissement facturée aux abonnés pour 2 1</w:t>
      </w:r>
      <w:r w:rsidR="00D80393" w:rsidRPr="00D80393">
        <w:t>43</w:t>
      </w:r>
      <w:r w:rsidRPr="00D80393">
        <w:t>K€, reversée au budget annexe concerné ;</w:t>
      </w:r>
    </w:p>
    <w:p w:rsidR="00EE3FD8" w:rsidRPr="00D80393" w:rsidRDefault="00EE3FD8" w:rsidP="00875C2B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D80393">
        <w:t>L’achat d’eau potable au Syndicat des Eaux de Charente-Maritime pour 1</w:t>
      </w:r>
      <w:r w:rsidR="0075473C">
        <w:t> </w:t>
      </w:r>
      <w:r w:rsidR="00D80393" w:rsidRPr="00D80393">
        <w:t>265</w:t>
      </w:r>
      <w:r w:rsidR="0075473C" w:rsidRPr="00D80393">
        <w:t> </w:t>
      </w:r>
      <w:r w:rsidRPr="00D80393">
        <w:t>K€ ;</w:t>
      </w:r>
    </w:p>
    <w:p w:rsidR="00EE3FD8" w:rsidRDefault="00EE3FD8" w:rsidP="00875C2B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905916">
        <w:t xml:space="preserve">Des annulations de créances éteintes (tribunal, surendettement) et irrécouvrables (poursuites de la Trésorerie infructueuses) pour un volume global de </w:t>
      </w:r>
      <w:r w:rsidR="00905916" w:rsidRPr="00905916">
        <w:t>64</w:t>
      </w:r>
      <w:r w:rsidRPr="00905916">
        <w:t xml:space="preserve"> K€ ;</w:t>
      </w:r>
    </w:p>
    <w:p w:rsidR="00EE3FD8" w:rsidRPr="00905916" w:rsidRDefault="00EE3FD8" w:rsidP="00875C2B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905916">
        <w:t xml:space="preserve">Un emprunt </w:t>
      </w:r>
      <w:r w:rsidR="00905916" w:rsidRPr="00905916">
        <w:t>contracté</w:t>
      </w:r>
      <w:r w:rsidRPr="00905916">
        <w:t xml:space="preserve"> en 20</w:t>
      </w:r>
      <w:r w:rsidR="00905916" w:rsidRPr="00905916">
        <w:t>20</w:t>
      </w:r>
      <w:r w:rsidRPr="00905916">
        <w:t xml:space="preserve"> pour 250 K€ pour financer les </w:t>
      </w:r>
      <w:r w:rsidR="00875C2B">
        <w:t>reports d’</w:t>
      </w:r>
      <w:r w:rsidRPr="00905916">
        <w:t>investissements réalisés</w:t>
      </w:r>
      <w:r w:rsidR="00905916" w:rsidRPr="00905916">
        <w:t xml:space="preserve"> est reporté en 2021</w:t>
      </w:r>
      <w:r w:rsidRPr="00905916">
        <w:t> ;</w:t>
      </w:r>
    </w:p>
    <w:p w:rsidR="00EE3FD8" w:rsidRPr="00905916" w:rsidRDefault="00EE3FD8" w:rsidP="00875C2B">
      <w:pPr>
        <w:pStyle w:val="Paragraphedeliste"/>
        <w:numPr>
          <w:ilvl w:val="0"/>
          <w:numId w:val="4"/>
        </w:numPr>
        <w:spacing w:after="0"/>
        <w:ind w:left="714" w:hanging="357"/>
        <w:contextualSpacing w:val="0"/>
        <w:jc w:val="both"/>
      </w:pPr>
      <w:r w:rsidRPr="00905916">
        <w:t>Des dépenses d’équipement réalisées à hauteur de 5</w:t>
      </w:r>
      <w:r w:rsidR="00905916" w:rsidRPr="00905916">
        <w:t>16</w:t>
      </w:r>
      <w:r w:rsidRPr="00905916">
        <w:t xml:space="preserve"> K€ pour rénover les réseaux et remplacer les branchements plomb :</w:t>
      </w:r>
    </w:p>
    <w:tbl>
      <w:tblPr>
        <w:tblW w:w="7839" w:type="dxa"/>
        <w:jc w:val="center"/>
        <w:tblInd w:w="-1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9"/>
        <w:gridCol w:w="1628"/>
        <w:gridCol w:w="1842"/>
      </w:tblGrid>
      <w:tr w:rsidR="00753E3E" w:rsidRPr="002E05C9" w:rsidTr="00A6448D">
        <w:trPr>
          <w:trHeight w:val="300"/>
          <w:jc w:val="center"/>
        </w:trPr>
        <w:tc>
          <w:tcPr>
            <w:tcW w:w="43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Mandaté 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Reports sur 2021</w:t>
            </w:r>
          </w:p>
        </w:tc>
      </w:tr>
      <w:tr w:rsidR="00753E3E" w:rsidRPr="002E05C9" w:rsidTr="00A6448D">
        <w:trPr>
          <w:trHeight w:val="300"/>
          <w:jc w:val="center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Voirie Rue Morchain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137 532 €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2 868 €</w:t>
            </w:r>
          </w:p>
        </w:tc>
      </w:tr>
      <w:tr w:rsidR="00753E3E" w:rsidRPr="002E05C9" w:rsidTr="00A6448D">
        <w:trPr>
          <w:trHeight w:val="300"/>
          <w:jc w:val="center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Interventions sur les réseaux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92 529 €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43 317 €</w:t>
            </w:r>
          </w:p>
        </w:tc>
      </w:tr>
      <w:tr w:rsidR="00753E3E" w:rsidRPr="002E05C9" w:rsidTr="00A6448D">
        <w:trPr>
          <w:trHeight w:val="300"/>
          <w:jc w:val="center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Eau frais commun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79 486 €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41 100 €</w:t>
            </w:r>
          </w:p>
        </w:tc>
      </w:tr>
      <w:tr w:rsidR="00753E3E" w:rsidRPr="002E05C9" w:rsidTr="00A6448D">
        <w:trPr>
          <w:trHeight w:val="300"/>
          <w:jc w:val="center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 xml:space="preserve">Voirie Rue </w:t>
            </w:r>
            <w:proofErr w:type="spellStart"/>
            <w:r w:rsidRPr="002E05C9">
              <w:rPr>
                <w:rFonts w:ascii="Calibri" w:eastAsia="Times New Roman" w:hAnsi="Calibri" w:cs="Calibri"/>
                <w:lang w:eastAsia="fr-FR"/>
              </w:rPr>
              <w:t>Toufaire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55 800 €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</w:tr>
      <w:tr w:rsidR="00753E3E" w:rsidRPr="002E05C9" w:rsidTr="00A6448D">
        <w:trPr>
          <w:trHeight w:val="300"/>
          <w:jc w:val="center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 xml:space="preserve">Voirie </w:t>
            </w:r>
            <w:proofErr w:type="spellStart"/>
            <w:r w:rsidRPr="002E05C9">
              <w:rPr>
                <w:rFonts w:ascii="Calibri" w:eastAsia="Times New Roman" w:hAnsi="Calibri" w:cs="Calibri"/>
                <w:lang w:eastAsia="fr-FR"/>
              </w:rPr>
              <w:t>blvd</w:t>
            </w:r>
            <w:proofErr w:type="spellEnd"/>
            <w:r w:rsidRPr="002E05C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2E05C9">
              <w:rPr>
                <w:rFonts w:ascii="Calibri" w:eastAsia="Times New Roman" w:hAnsi="Calibri" w:cs="Calibri"/>
                <w:lang w:eastAsia="fr-FR"/>
              </w:rPr>
              <w:t>Pouzet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44 373 €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</w:tr>
      <w:tr w:rsidR="00753E3E" w:rsidRPr="002E05C9" w:rsidTr="00A6448D">
        <w:trPr>
          <w:trHeight w:val="300"/>
          <w:jc w:val="center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2E05C9">
              <w:rPr>
                <w:rFonts w:ascii="Calibri" w:eastAsia="Times New Roman" w:hAnsi="Calibri" w:cs="Calibri"/>
                <w:lang w:eastAsia="fr-FR"/>
              </w:rPr>
              <w:t>Télérelève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33 927 €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16 200 €</w:t>
            </w:r>
          </w:p>
        </w:tc>
      </w:tr>
      <w:tr w:rsidR="00753E3E" w:rsidRPr="002E05C9" w:rsidTr="00A6448D">
        <w:trPr>
          <w:trHeight w:val="300"/>
          <w:jc w:val="center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Branchements plomb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33 601 €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4 260 €</w:t>
            </w:r>
          </w:p>
        </w:tc>
      </w:tr>
      <w:tr w:rsidR="00753E3E" w:rsidRPr="002E05C9" w:rsidTr="00A6448D">
        <w:trPr>
          <w:trHeight w:val="300"/>
          <w:jc w:val="center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Station de pompage la coudre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26 263 €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389 642 €</w:t>
            </w:r>
          </w:p>
        </w:tc>
      </w:tr>
      <w:tr w:rsidR="00753E3E" w:rsidRPr="002E05C9" w:rsidTr="00A6448D">
        <w:trPr>
          <w:trHeight w:val="300"/>
          <w:jc w:val="center"/>
        </w:trPr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Voirie Rue Thiers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12 780 €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520 €</w:t>
            </w:r>
          </w:p>
        </w:tc>
      </w:tr>
      <w:tr w:rsidR="00753E3E" w:rsidRPr="002E05C9" w:rsidTr="00A6448D">
        <w:trPr>
          <w:trHeight w:val="300"/>
          <w:jc w:val="center"/>
        </w:trPr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516 290 €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497 907 €</w:t>
            </w:r>
          </w:p>
        </w:tc>
      </w:tr>
    </w:tbl>
    <w:p w:rsidR="00174811" w:rsidRDefault="00174811" w:rsidP="00EE3FD8">
      <w:pPr>
        <w:spacing w:after="0" w:line="240" w:lineRule="auto"/>
        <w:jc w:val="both"/>
      </w:pPr>
    </w:p>
    <w:p w:rsidR="00B077B0" w:rsidRDefault="00B077B0">
      <w:pPr>
        <w:spacing w:after="200" w:line="276" w:lineRule="auto"/>
        <w:rPr>
          <w:rFonts w:eastAsiaTheme="majorEastAsia" w:cstheme="majorBidi"/>
          <w:b/>
          <w:bCs/>
          <w:color w:val="4F81BD" w:themeColor="accent1"/>
          <w:sz w:val="24"/>
        </w:rPr>
      </w:pPr>
      <w:r>
        <w:br w:type="page"/>
      </w:r>
    </w:p>
    <w:p w:rsidR="0091218C" w:rsidRPr="00170025" w:rsidRDefault="0091218C" w:rsidP="00875C2B">
      <w:pPr>
        <w:pStyle w:val="Titre3"/>
      </w:pPr>
      <w:bookmarkStart w:id="76" w:name="_Toc74317371"/>
      <w:r w:rsidRPr="00170025">
        <w:lastRenderedPageBreak/>
        <w:t>Le résultat 20</w:t>
      </w:r>
      <w:r w:rsidR="00170025" w:rsidRPr="00170025">
        <w:t>20</w:t>
      </w:r>
      <w:r w:rsidRPr="00170025">
        <w:t xml:space="preserve"> et son affectation</w:t>
      </w:r>
      <w:bookmarkEnd w:id="76"/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9"/>
        <w:gridCol w:w="790"/>
        <w:gridCol w:w="1541"/>
      </w:tblGrid>
      <w:tr w:rsidR="00170025" w:rsidRPr="003E6CC0" w:rsidTr="00875C2B">
        <w:trPr>
          <w:trHeight w:val="265"/>
          <w:jc w:val="center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70025" w:rsidRPr="003E6CC0" w:rsidRDefault="00170025" w:rsidP="003E6C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E6CC0">
              <w:rPr>
                <w:rFonts w:eastAsia="Times New Roman" w:cstheme="minorHAnsi"/>
                <w:b/>
                <w:bCs/>
                <w:lang w:eastAsia="fr-FR"/>
              </w:rPr>
              <w:t>AFFECTATION DU RESULTAT DE FONCTIONNEMENT 2020</w:t>
            </w:r>
          </w:p>
        </w:tc>
      </w:tr>
      <w:tr w:rsidR="00170025" w:rsidRPr="003E6CC0" w:rsidTr="003E6CC0">
        <w:trPr>
          <w:trHeight w:val="265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25" w:rsidRPr="003E6CC0" w:rsidRDefault="00170025" w:rsidP="003E6C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E6CC0">
              <w:rPr>
                <w:rFonts w:eastAsia="Times New Roman" w:cstheme="minorHAnsi"/>
                <w:b/>
                <w:bCs/>
                <w:lang w:eastAsia="fr-FR"/>
              </w:rPr>
              <w:t>FONCTIONNEMENT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25" w:rsidRPr="003E6CC0" w:rsidRDefault="00170025" w:rsidP="003E6CC0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3E6CC0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25" w:rsidRPr="003E6CC0" w:rsidRDefault="00170025" w:rsidP="003E6CC0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3E6CC0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3E6CC0" w:rsidRPr="003E6CC0" w:rsidTr="003E6CC0">
        <w:trPr>
          <w:trHeight w:val="265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fr-FR"/>
              </w:rPr>
            </w:pPr>
            <w:r w:rsidRPr="003E6CC0">
              <w:rPr>
                <w:rFonts w:eastAsia="Times New Roman" w:cstheme="minorHAnsi"/>
                <w:lang w:eastAsia="fr-FR"/>
              </w:rPr>
              <w:t>Résultat antérieur reporté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right"/>
              <w:rPr>
                <w:rFonts w:cstheme="minorHAnsi"/>
              </w:rPr>
            </w:pPr>
            <w:r w:rsidRPr="003E6CC0">
              <w:rPr>
                <w:rFonts w:cstheme="minorHAnsi"/>
              </w:rPr>
              <w:t>86 930,98 €</w:t>
            </w:r>
          </w:p>
        </w:tc>
      </w:tr>
      <w:tr w:rsidR="003E6CC0" w:rsidRPr="003E6CC0" w:rsidTr="003E6CC0">
        <w:trPr>
          <w:trHeight w:val="265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lang w:eastAsia="fr-FR"/>
              </w:rPr>
            </w:pPr>
            <w:r w:rsidRPr="003E6CC0">
              <w:rPr>
                <w:rFonts w:eastAsia="Times New Roman" w:cstheme="minorHAns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3E6CC0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3E6CC0">
              <w:rPr>
                <w:rFonts w:cstheme="minorHAnsi"/>
                <w:b/>
                <w:bCs/>
              </w:rPr>
              <w:t>336 581,65 €</w:t>
            </w:r>
          </w:p>
        </w:tc>
      </w:tr>
      <w:tr w:rsidR="003E6CC0" w:rsidRPr="003E6CC0" w:rsidTr="003E6CC0">
        <w:trPr>
          <w:trHeight w:val="265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lang w:eastAsia="fr-FR"/>
              </w:rPr>
            </w:pPr>
            <w:r w:rsidRPr="003E6CC0">
              <w:rPr>
                <w:rFonts w:eastAsia="Times New Roman" w:cstheme="minorHAnsi"/>
                <w:b/>
                <w:bCs/>
                <w:lang w:eastAsia="fr-FR"/>
              </w:rPr>
              <w:t>= Résultat à affecter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E6CC0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3E6CC0">
              <w:rPr>
                <w:rFonts w:cstheme="minorHAnsi"/>
                <w:b/>
                <w:bCs/>
              </w:rPr>
              <w:t>423 512,63 €</w:t>
            </w:r>
          </w:p>
        </w:tc>
      </w:tr>
      <w:tr w:rsidR="0009432F" w:rsidRPr="003E6CC0" w:rsidTr="003E6CC0">
        <w:trPr>
          <w:trHeight w:val="265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3E6CC0" w:rsidRDefault="0009432F" w:rsidP="003E6C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E6CC0">
              <w:rPr>
                <w:rFonts w:eastAsia="Times New Roman" w:cstheme="minorHAnsi"/>
                <w:b/>
                <w:bCs/>
                <w:lang w:eastAsia="fr-FR"/>
              </w:rPr>
              <w:t>INVESTISSEMENT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3E6CC0" w:rsidRDefault="0009432F" w:rsidP="003E6C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3E6CC0" w:rsidRDefault="0009432F" w:rsidP="003E6CC0">
            <w:pPr>
              <w:spacing w:after="0" w:line="240" w:lineRule="auto"/>
              <w:jc w:val="right"/>
              <w:rPr>
                <w:rFonts w:cstheme="minorHAnsi"/>
              </w:rPr>
            </w:pPr>
            <w:r w:rsidRPr="003E6CC0">
              <w:rPr>
                <w:rFonts w:cstheme="minorHAnsi"/>
              </w:rPr>
              <w:t> </w:t>
            </w:r>
          </w:p>
        </w:tc>
      </w:tr>
      <w:tr w:rsidR="003E6CC0" w:rsidRPr="003E6CC0" w:rsidTr="003E6CC0">
        <w:trPr>
          <w:trHeight w:val="265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fr-FR"/>
              </w:rPr>
            </w:pPr>
            <w:r w:rsidRPr="003E6CC0">
              <w:rPr>
                <w:rFonts w:eastAsia="Times New Roman" w:cstheme="minorHAnsi"/>
                <w:lang w:eastAsia="fr-FR"/>
              </w:rPr>
              <w:t>Résultat antérieur reporté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right"/>
              <w:rPr>
                <w:rFonts w:cstheme="minorHAnsi"/>
              </w:rPr>
            </w:pPr>
            <w:r w:rsidRPr="003E6CC0">
              <w:rPr>
                <w:rFonts w:cstheme="minorHAnsi"/>
              </w:rPr>
              <w:t>-77 408,71 €</w:t>
            </w:r>
          </w:p>
        </w:tc>
      </w:tr>
      <w:tr w:rsidR="003E6CC0" w:rsidRPr="003E6CC0" w:rsidTr="003E6CC0">
        <w:trPr>
          <w:trHeight w:val="265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lang w:eastAsia="fr-FR"/>
              </w:rPr>
            </w:pPr>
            <w:r w:rsidRPr="003E6CC0">
              <w:rPr>
                <w:rFonts w:eastAsia="Times New Roman" w:cstheme="minorHAns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3E6CC0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3E6CC0">
              <w:rPr>
                <w:rFonts w:cstheme="minorHAnsi"/>
                <w:b/>
                <w:bCs/>
              </w:rPr>
              <w:t>-60 808,61 €</w:t>
            </w:r>
          </w:p>
        </w:tc>
      </w:tr>
      <w:tr w:rsidR="003E6CC0" w:rsidRPr="003E6CC0" w:rsidTr="003E6CC0">
        <w:trPr>
          <w:trHeight w:val="265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fr-FR"/>
              </w:rPr>
            </w:pPr>
            <w:r w:rsidRPr="003E6CC0">
              <w:rPr>
                <w:rFonts w:eastAsia="Times New Roman" w:cstheme="minorHAnsi"/>
                <w:lang w:eastAsia="fr-FR"/>
              </w:rPr>
              <w:t>= Résultat cumulé à reporter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3E6CC0">
              <w:rPr>
                <w:rFonts w:eastAsia="Times New Roman" w:cstheme="minorHAnsi"/>
                <w:lang w:eastAsia="fr-FR"/>
              </w:rPr>
              <w:t>D 001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right"/>
              <w:rPr>
                <w:rFonts w:cstheme="minorHAnsi"/>
              </w:rPr>
            </w:pPr>
            <w:r w:rsidRPr="003E6CC0">
              <w:rPr>
                <w:rFonts w:cstheme="minorHAnsi"/>
              </w:rPr>
              <w:t>-138 217,32 €</w:t>
            </w:r>
          </w:p>
        </w:tc>
      </w:tr>
      <w:tr w:rsidR="003E6CC0" w:rsidRPr="003E6CC0" w:rsidTr="003E6CC0">
        <w:trPr>
          <w:trHeight w:val="265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fr-FR"/>
              </w:rPr>
            </w:pPr>
            <w:r w:rsidRPr="003E6CC0">
              <w:rPr>
                <w:rFonts w:eastAsia="Times New Roman" w:cstheme="minorHAnsi"/>
                <w:lang w:eastAsia="fr-FR"/>
              </w:rPr>
              <w:t>Solde des restes à réaliser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3E6CC0">
              <w:rPr>
                <w:rFonts w:cstheme="minorHAnsi"/>
                <w:b/>
                <w:bCs/>
              </w:rPr>
              <w:t>-207 292,16 €</w:t>
            </w:r>
          </w:p>
        </w:tc>
      </w:tr>
      <w:tr w:rsidR="003E6CC0" w:rsidRPr="003E6CC0" w:rsidTr="003E6CC0">
        <w:trPr>
          <w:trHeight w:val="265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lang w:eastAsia="fr-FR"/>
              </w:rPr>
            </w:pPr>
            <w:r w:rsidRPr="003E6CC0">
              <w:rPr>
                <w:rFonts w:eastAsia="Times New Roman" w:cstheme="minorHAnsi"/>
                <w:b/>
                <w:bCs/>
                <w:lang w:eastAsia="fr-FR"/>
              </w:rPr>
              <w:t>= Besoin de financement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3E6CC0">
              <w:rPr>
                <w:rFonts w:cstheme="minorHAnsi"/>
                <w:b/>
                <w:bCs/>
              </w:rPr>
              <w:t>-345 509,48 €</w:t>
            </w:r>
          </w:p>
        </w:tc>
      </w:tr>
      <w:tr w:rsidR="0009432F" w:rsidRPr="003E6CC0" w:rsidTr="003E6CC0">
        <w:trPr>
          <w:trHeight w:val="265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3E6CC0" w:rsidRDefault="0009432F" w:rsidP="003E6C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E6CC0">
              <w:rPr>
                <w:rFonts w:eastAsia="Times New Roman" w:cstheme="minorHAnsi"/>
                <w:b/>
                <w:bCs/>
                <w:lang w:eastAsia="fr-FR"/>
              </w:rPr>
              <w:t>AFFECTATION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3E6CC0" w:rsidRDefault="0009432F" w:rsidP="003E6C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3E6CC0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3E6CC0" w:rsidRDefault="0009432F" w:rsidP="003E6CC0">
            <w:pPr>
              <w:spacing w:after="0" w:line="240" w:lineRule="auto"/>
              <w:jc w:val="right"/>
              <w:rPr>
                <w:rFonts w:cstheme="minorHAnsi"/>
              </w:rPr>
            </w:pPr>
            <w:r w:rsidRPr="003E6CC0">
              <w:rPr>
                <w:rFonts w:cstheme="minorHAnsi"/>
              </w:rPr>
              <w:t> </w:t>
            </w:r>
          </w:p>
        </w:tc>
      </w:tr>
      <w:tr w:rsidR="003E6CC0" w:rsidRPr="003E6CC0" w:rsidTr="003E6CC0">
        <w:trPr>
          <w:trHeight w:val="265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fr-FR"/>
              </w:rPr>
            </w:pPr>
            <w:r w:rsidRPr="003E6CC0">
              <w:rPr>
                <w:rFonts w:eastAsia="Times New Roman" w:cstheme="minorHAnsi"/>
                <w:lang w:eastAsia="fr-FR"/>
              </w:rPr>
              <w:t>Couverture du besoin de financement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3E6CC0">
              <w:rPr>
                <w:rFonts w:eastAsia="Times New Roman" w:cstheme="minorHAnsi"/>
                <w:lang w:eastAsia="fr-FR"/>
              </w:rPr>
              <w:t>R 1068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right"/>
              <w:rPr>
                <w:rFonts w:cstheme="minorHAnsi"/>
              </w:rPr>
            </w:pPr>
            <w:r w:rsidRPr="003E6CC0">
              <w:rPr>
                <w:rFonts w:cstheme="minorHAnsi"/>
              </w:rPr>
              <w:t>345 509,48 €</w:t>
            </w:r>
          </w:p>
        </w:tc>
      </w:tr>
      <w:tr w:rsidR="003E6CC0" w:rsidRPr="003E6CC0" w:rsidTr="003E6CC0">
        <w:trPr>
          <w:trHeight w:val="265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fr-FR"/>
              </w:rPr>
            </w:pPr>
            <w:r w:rsidRPr="003E6CC0">
              <w:rPr>
                <w:rFonts w:eastAsia="Times New Roman" w:cstheme="minorHAnsi"/>
                <w:lang w:eastAsia="fr-FR"/>
              </w:rPr>
              <w:t>Excédent de fonctionnement restant à reporter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3E6CC0">
              <w:rPr>
                <w:rFonts w:eastAsia="Times New Roman" w:cstheme="minorHAnsi"/>
                <w:lang w:eastAsia="fr-FR"/>
              </w:rPr>
              <w:t>R 002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right"/>
              <w:rPr>
                <w:rFonts w:cstheme="minorHAnsi"/>
              </w:rPr>
            </w:pPr>
            <w:r w:rsidRPr="003E6CC0">
              <w:rPr>
                <w:rFonts w:cstheme="minorHAnsi"/>
              </w:rPr>
              <w:t>381 441,58 €</w:t>
            </w:r>
          </w:p>
        </w:tc>
      </w:tr>
      <w:tr w:rsidR="003E6CC0" w:rsidRPr="003E6CC0" w:rsidTr="003E6CC0">
        <w:trPr>
          <w:trHeight w:val="265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fr-FR"/>
              </w:rPr>
            </w:pPr>
            <w:r w:rsidRPr="003E6CC0">
              <w:rPr>
                <w:rFonts w:eastAsia="Times New Roman" w:cstheme="minorHAnsi"/>
                <w:lang w:eastAsia="fr-FR"/>
              </w:rPr>
              <w:t>Solde des restes à réaliser de fonctionnement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3E6CC0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3E6CC0">
              <w:rPr>
                <w:rFonts w:cstheme="minorHAnsi"/>
                <w:b/>
                <w:bCs/>
              </w:rPr>
              <w:t>-28 066,09 €</w:t>
            </w:r>
          </w:p>
        </w:tc>
      </w:tr>
      <w:tr w:rsidR="003E6CC0" w:rsidRPr="003E6CC0" w:rsidTr="003E6CC0">
        <w:trPr>
          <w:trHeight w:val="265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E6CC0">
              <w:rPr>
                <w:rFonts w:eastAsia="Times New Roman" w:cstheme="minorHAnsi"/>
                <w:b/>
                <w:bCs/>
                <w:lang w:eastAsia="fr-FR"/>
              </w:rPr>
              <w:t>RESULTAT GLOBAL 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E6CC0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CC0" w:rsidRPr="003E6CC0" w:rsidRDefault="003E6CC0" w:rsidP="003E6C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3E6CC0">
              <w:rPr>
                <w:rFonts w:cstheme="minorHAnsi"/>
                <w:b/>
                <w:bCs/>
              </w:rPr>
              <w:t>353 375,49 €</w:t>
            </w:r>
          </w:p>
        </w:tc>
      </w:tr>
    </w:tbl>
    <w:p w:rsidR="00B077B0" w:rsidRDefault="00B077B0">
      <w:pPr>
        <w:spacing w:after="200" w:line="276" w:lineRule="auto"/>
        <w:rPr>
          <w:rFonts w:eastAsiaTheme="majorEastAsia" w:cstheme="majorBidi"/>
          <w:b/>
          <w:bCs/>
          <w:color w:val="4F81BD" w:themeColor="accent1"/>
          <w:sz w:val="28"/>
          <w:szCs w:val="26"/>
        </w:rPr>
      </w:pPr>
      <w:r>
        <w:br w:type="page"/>
      </w:r>
    </w:p>
    <w:p w:rsidR="0080541E" w:rsidRDefault="0080541E" w:rsidP="0080541E">
      <w:pPr>
        <w:pStyle w:val="Titre2"/>
      </w:pPr>
      <w:bookmarkStart w:id="77" w:name="_Toc74317372"/>
      <w:r>
        <w:lastRenderedPageBreak/>
        <w:t>Assainissement</w:t>
      </w:r>
      <w:bookmarkEnd w:id="77"/>
    </w:p>
    <w:p w:rsidR="009225DB" w:rsidRPr="009225DB" w:rsidRDefault="00B97B5D" w:rsidP="005046DF">
      <w:pPr>
        <w:spacing w:after="200" w:line="276" w:lineRule="auto"/>
        <w:jc w:val="both"/>
      </w:pPr>
      <w:r w:rsidRPr="009225DB">
        <w:t>Ce budget retrace les opérations liées à la collecte et de traitement des eaux usées sur la Ville de Rochefort seulement</w:t>
      </w:r>
      <w:r w:rsidR="00E30F6B">
        <w:t>.</w:t>
      </w:r>
      <w:r w:rsidRPr="009225DB">
        <w:t xml:space="preserve"> </w:t>
      </w:r>
      <w:r w:rsidR="00E30F6B">
        <w:t>L</w:t>
      </w:r>
      <w:r w:rsidRPr="009225DB">
        <w:t xml:space="preserve">es autres communes </w:t>
      </w:r>
      <w:r w:rsidR="00E30F6B">
        <w:t>sont gérées par le SDE Eau 17</w:t>
      </w:r>
    </w:p>
    <w:p w:rsidR="00B97B5D" w:rsidRPr="00A60182" w:rsidRDefault="00B97B5D" w:rsidP="005046DF">
      <w:pPr>
        <w:spacing w:after="200" w:line="276" w:lineRule="auto"/>
        <w:jc w:val="both"/>
      </w:pPr>
      <w:r w:rsidRPr="00A60182">
        <w:t>Les opérations réalisées en 20</w:t>
      </w:r>
      <w:r w:rsidR="009225DB" w:rsidRPr="00A60182">
        <w:t>20</w:t>
      </w:r>
      <w:r w:rsidRPr="00A60182">
        <w:t xml:space="preserve"> sont présentées ci-dessous :</w:t>
      </w:r>
    </w:p>
    <w:tbl>
      <w:tblPr>
        <w:tblW w:w="111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377"/>
        <w:gridCol w:w="1240"/>
        <w:gridCol w:w="1240"/>
        <w:gridCol w:w="1240"/>
        <w:gridCol w:w="1314"/>
        <w:gridCol w:w="1136"/>
      </w:tblGrid>
      <w:tr w:rsidR="00486B62" w:rsidRPr="002E05C9" w:rsidTr="00A6448D">
        <w:trPr>
          <w:trHeight w:val="300"/>
          <w:jc w:val="center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86B62" w:rsidRPr="002E05C9" w:rsidRDefault="00174811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Investissement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BUDGETE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CA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EVOLUTION</w:t>
            </w:r>
          </w:p>
        </w:tc>
      </w:tr>
      <w:tr w:rsidR="00486B62" w:rsidRPr="002E05C9" w:rsidTr="00A6448D">
        <w:trPr>
          <w:trHeight w:val="300"/>
          <w:jc w:val="center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2020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2020-2019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001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Résultat reporté d'investissement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117 918 €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-117 917,95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-100,0 %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040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Opérations d'ordre de transfert entre sections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5 694 €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5 700 €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5 694 €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041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Opérations patrimoniales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22 265 €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Emprunts et dettes assimilés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551 001 €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578 000 €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577 626 €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26 625,40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4,8 %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20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Immobilisations incorporelles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47 028 €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429 384 €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142 946 €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95 918,24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204,0 %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21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Immobilisations corporelles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960 271 €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1 261 060 €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866 487 €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-93 784,32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-9,8 %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23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Immobilisations en cours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205 271 €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27 820 €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8 220 €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-197 050,98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-96,0 %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26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Participations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-300,00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-100,0 %</w:t>
            </w:r>
          </w:p>
        </w:tc>
      </w:tr>
      <w:tr w:rsidR="00486B62" w:rsidRPr="002E05C9" w:rsidTr="00486B62">
        <w:trPr>
          <w:trHeight w:val="300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Total Dépenses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1 887 483 €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2 324 229 €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1 600 973 €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-286 509,61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-15,2 %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001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Résultat reporte d'investissement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190 970 €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190 970 €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190 970,44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021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Virement de la section de fonctionnement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241 577 €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040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Opérations d'ordre de transfert entre sections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697 717 €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779 195 €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763 427 €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65 710,33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9,4 %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041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Opérations patrimoniales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22 265 €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Dotations, fonds divers et réserves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680 736 €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639 319 €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639 319 €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-41 417,33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-6,1 %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13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Subventions d'investissement reçues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96 175 €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28 853 €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28 852,50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Emprunts et dettes assimiles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700 000 €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354 728 €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-700 000,00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-100,0 %</w:t>
            </w:r>
          </w:p>
        </w:tc>
      </w:tr>
      <w:tr w:rsidR="00486B62" w:rsidRPr="002E05C9" w:rsidTr="00486B62">
        <w:trPr>
          <w:trHeight w:val="300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Total Recettes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2 078 453 €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2 324 229 €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1 622 569 €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-455 884,06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-21,9 %</w:t>
            </w:r>
          </w:p>
        </w:tc>
      </w:tr>
    </w:tbl>
    <w:p w:rsidR="00ED4AB4" w:rsidRPr="00A60182" w:rsidRDefault="00ED4AB4" w:rsidP="00C77EAE">
      <w:pPr>
        <w:spacing w:after="0" w:line="240" w:lineRule="auto"/>
        <w:jc w:val="both"/>
      </w:pPr>
    </w:p>
    <w:tbl>
      <w:tblPr>
        <w:tblW w:w="1103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377"/>
        <w:gridCol w:w="1240"/>
        <w:gridCol w:w="1240"/>
        <w:gridCol w:w="1240"/>
        <w:gridCol w:w="1314"/>
        <w:gridCol w:w="1040"/>
      </w:tblGrid>
      <w:tr w:rsidR="00486B62" w:rsidRPr="002E05C9" w:rsidTr="00A6448D">
        <w:trPr>
          <w:trHeight w:val="300"/>
          <w:jc w:val="center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86B62" w:rsidRPr="002E05C9" w:rsidRDefault="00174811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Fonctionnement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BUDGETE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CA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EVOLUTION</w:t>
            </w:r>
          </w:p>
        </w:tc>
      </w:tr>
      <w:tr w:rsidR="00486B62" w:rsidRPr="002E05C9" w:rsidTr="00A6448D">
        <w:trPr>
          <w:trHeight w:val="300"/>
          <w:jc w:val="center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2020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2020-2019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011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Charges à caractère général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265 596 €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277 897 €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206 350 €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-59 245,87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-22,3 %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012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Charges de personnel et frais assimilés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615 836 €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724 574 €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712 387 €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96 550,94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15,7 %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014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Atténuations de produits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224 580 €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294 000 €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275 267 €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50 687,00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22,6 %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023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Virement à la section d'investissement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241 577 €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042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Opérations d'ordre de transfert entre sections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697 717 €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779 195 €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763 427 €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65 710,33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9,4 %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65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Autres charges de gestion courante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-4,11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-73,4 %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66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Charges financières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115 681 €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105 555 €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102 668 €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-13 012,82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-11,3 %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67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Charges exceptionnelles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8 452 €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1 182 €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-7 270,10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-86,0 %</w:t>
            </w:r>
          </w:p>
        </w:tc>
      </w:tr>
      <w:tr w:rsidR="00486B62" w:rsidRPr="002E05C9" w:rsidTr="00486B62">
        <w:trPr>
          <w:trHeight w:val="300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Total Dépenses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1 927 868 €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2 427 818 €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2 061 283 €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133 415,37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6,9 %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002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Résultat reporte de fonctionnement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209 567 €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86 931 €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86 931 €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-122 635,88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-58,5 %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013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Atténuations de charges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9 425 €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9 838 €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10 942 €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1 517,06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16,1 %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042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Operations d'ordre de transfert entre sections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5 694 €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5 700 €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5 694 €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0,0 %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70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Produits de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2 332 653 €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2 280 349 €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2 335 290 €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2 636,86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0,1 %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74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Dotations, subventions et participations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72 973 €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45 000 €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45 443 €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-27 530,00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-37,7 %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75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Autres produits de gestion courante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-0,42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-14,9 %</w:t>
            </w:r>
          </w:p>
        </w:tc>
      </w:tr>
      <w:tr w:rsidR="00486B62" w:rsidRPr="002E05C9" w:rsidTr="00D64DC9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77</w:t>
            </w:r>
          </w:p>
        </w:tc>
        <w:tc>
          <w:tcPr>
            <w:tcW w:w="43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Produits exceptionnels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23 802 €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493 €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-23 309,28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-97,9 %</w:t>
            </w:r>
          </w:p>
        </w:tc>
      </w:tr>
      <w:tr w:rsidR="00486B62" w:rsidRPr="002E05C9" w:rsidTr="00486B62">
        <w:trPr>
          <w:trHeight w:val="300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Total Recettes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2 654 117 €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2 427 818 €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2 484 796 €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-169 321,66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62" w:rsidRPr="002E05C9" w:rsidRDefault="00486B62" w:rsidP="00486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lang w:eastAsia="fr-FR"/>
              </w:rPr>
              <w:t>-6,4 %</w:t>
            </w:r>
          </w:p>
        </w:tc>
      </w:tr>
    </w:tbl>
    <w:p w:rsidR="00CF6595" w:rsidRDefault="00CF6595" w:rsidP="00875C2B">
      <w:pPr>
        <w:pStyle w:val="Titre3"/>
      </w:pPr>
      <w:bookmarkStart w:id="78" w:name="_Toc74317373"/>
      <w:r>
        <w:lastRenderedPageBreak/>
        <w:t>L’analyse</w:t>
      </w:r>
      <w:bookmarkEnd w:id="78"/>
    </w:p>
    <w:p w:rsidR="00170025" w:rsidRPr="00F763B7" w:rsidRDefault="00170025" w:rsidP="005046DF">
      <w:pPr>
        <w:spacing w:after="200" w:line="276" w:lineRule="auto"/>
        <w:jc w:val="both"/>
      </w:pPr>
      <w:r w:rsidRPr="00F763B7">
        <w:t>Les éléments à noter sur l’exécution du budget 2020 sont :</w:t>
      </w:r>
    </w:p>
    <w:p w:rsidR="007F2804" w:rsidRPr="00C621C4" w:rsidRDefault="007F2804" w:rsidP="00875C2B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C621C4">
        <w:t>Une redevance d’assainissem</w:t>
      </w:r>
      <w:r w:rsidR="00551BEA" w:rsidRPr="00C621C4">
        <w:t>ent facturée aux usagers en 20</w:t>
      </w:r>
      <w:r w:rsidR="00C621C4" w:rsidRPr="00C621C4">
        <w:t>20</w:t>
      </w:r>
      <w:r w:rsidRPr="00C621C4">
        <w:t xml:space="preserve"> de 1 </w:t>
      </w:r>
      <w:r w:rsidR="00B1054D" w:rsidRPr="00C621C4">
        <w:t>8</w:t>
      </w:r>
      <w:r w:rsidR="00C621C4" w:rsidRPr="00C621C4">
        <w:t>28</w:t>
      </w:r>
      <w:r w:rsidRPr="00C621C4">
        <w:t xml:space="preserve"> K€ ; </w:t>
      </w:r>
    </w:p>
    <w:p w:rsidR="007F2804" w:rsidRPr="00C621C4" w:rsidRDefault="007F2804" w:rsidP="00875C2B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C621C4">
        <w:t>La redevance pour modernisation des rése</w:t>
      </w:r>
      <w:r w:rsidR="00B1054D" w:rsidRPr="00C621C4">
        <w:t>aux de collecte facturée pour 32</w:t>
      </w:r>
      <w:r w:rsidR="00C621C4" w:rsidRPr="00C621C4">
        <w:t>4</w:t>
      </w:r>
      <w:r w:rsidRPr="00C621C4">
        <w:t>K€ (elle sera reversée entièrement à l’Agence de l’Eau Adour Garonne</w:t>
      </w:r>
      <w:r w:rsidR="0014760B">
        <w:t xml:space="preserve"> en 2021</w:t>
      </w:r>
      <w:r w:rsidRPr="00C621C4">
        <w:t>) ;</w:t>
      </w:r>
    </w:p>
    <w:p w:rsidR="007F2804" w:rsidRPr="00F763B7" w:rsidRDefault="007F2804" w:rsidP="00875C2B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F763B7">
        <w:t>Un emprunt a été contracté en 20</w:t>
      </w:r>
      <w:r w:rsidR="009225DB" w:rsidRPr="00F763B7">
        <w:t>20</w:t>
      </w:r>
      <w:r w:rsidRPr="00F763B7">
        <w:t xml:space="preserve"> </w:t>
      </w:r>
      <w:r w:rsidR="002821F7" w:rsidRPr="00F763B7">
        <w:t xml:space="preserve">et reporté sur 2021 </w:t>
      </w:r>
      <w:r w:rsidRPr="00F763B7">
        <w:t xml:space="preserve">pour </w:t>
      </w:r>
      <w:r w:rsidR="009225DB" w:rsidRPr="00F763B7">
        <w:t>3</w:t>
      </w:r>
      <w:r w:rsidR="00B1054D" w:rsidRPr="00F763B7">
        <w:t>00</w:t>
      </w:r>
      <w:r w:rsidRPr="00F763B7">
        <w:t xml:space="preserve"> K€ pour financer les </w:t>
      </w:r>
      <w:r w:rsidR="0014760B">
        <w:t xml:space="preserve">restes à réaliser des </w:t>
      </w:r>
      <w:r w:rsidRPr="00F763B7">
        <w:t>dépenses d’équipement</w:t>
      </w:r>
      <w:r w:rsidR="00F763B7" w:rsidRPr="00F763B7">
        <w:t>.</w:t>
      </w:r>
    </w:p>
    <w:p w:rsidR="007F2804" w:rsidRPr="00753E3E" w:rsidRDefault="007F2804" w:rsidP="0014760B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753E3E">
        <w:t>Des dépenses d’équipement réalisées à hauteur de 1 </w:t>
      </w:r>
      <w:r w:rsidR="00753E3E" w:rsidRPr="00753E3E">
        <w:t>018</w:t>
      </w:r>
      <w:r w:rsidRPr="00753E3E">
        <w:t xml:space="preserve"> K€ pour rénover les réseaux et </w:t>
      </w:r>
      <w:r w:rsidR="00753E3E" w:rsidRPr="00753E3E">
        <w:t>continuer</w:t>
      </w:r>
      <w:r w:rsidRPr="00753E3E">
        <w:t xml:space="preserve"> </w:t>
      </w:r>
      <w:r w:rsidR="00753E3E" w:rsidRPr="00753E3E">
        <w:t>l</w:t>
      </w:r>
      <w:r w:rsidRPr="00753E3E">
        <w:t>es travaux sur la station de lagunage :</w:t>
      </w:r>
    </w:p>
    <w:tbl>
      <w:tblPr>
        <w:tblW w:w="7849" w:type="dxa"/>
        <w:jc w:val="center"/>
        <w:tblInd w:w="-1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1628"/>
        <w:gridCol w:w="1842"/>
      </w:tblGrid>
      <w:tr w:rsidR="00753E3E" w:rsidRPr="002E05C9" w:rsidTr="00A6448D">
        <w:trPr>
          <w:trHeight w:val="300"/>
          <w:jc w:val="center"/>
        </w:trPr>
        <w:tc>
          <w:tcPr>
            <w:tcW w:w="437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53E3E" w:rsidRPr="002E05C9" w:rsidRDefault="00753E3E" w:rsidP="00CC0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Mandaté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753E3E" w:rsidRPr="002E05C9" w:rsidRDefault="00753E3E" w:rsidP="00753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Reports sur 2021</w:t>
            </w:r>
          </w:p>
        </w:tc>
      </w:tr>
      <w:tr w:rsidR="00CC054B" w:rsidRPr="002E05C9" w:rsidTr="00A6448D">
        <w:trPr>
          <w:trHeight w:val="300"/>
          <w:jc w:val="center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170025" w:rsidP="001700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Interventions sur les r</w:t>
            </w:r>
            <w:r w:rsidR="00CC054B" w:rsidRPr="002E05C9">
              <w:rPr>
                <w:rFonts w:ascii="Calibri" w:eastAsia="Times New Roman" w:hAnsi="Calibri" w:cs="Calibri"/>
                <w:lang w:eastAsia="fr-FR"/>
              </w:rPr>
              <w:t>éseaux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236 078 €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9 672 €</w:t>
            </w:r>
          </w:p>
        </w:tc>
      </w:tr>
      <w:tr w:rsidR="00CC054B" w:rsidRPr="002E05C9" w:rsidTr="00A6448D">
        <w:trPr>
          <w:trHeight w:val="300"/>
          <w:jc w:val="center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Voirie Rue Morchain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218 495 €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39 505 €</w:t>
            </w:r>
          </w:p>
        </w:tc>
      </w:tr>
      <w:tr w:rsidR="00CC054B" w:rsidRPr="002E05C9" w:rsidTr="00A6448D">
        <w:trPr>
          <w:trHeight w:val="300"/>
          <w:jc w:val="center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Station de lagunage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187 487 €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92 915 €</w:t>
            </w:r>
          </w:p>
        </w:tc>
      </w:tr>
      <w:tr w:rsidR="00CC054B" w:rsidRPr="002E05C9" w:rsidTr="00A6448D">
        <w:trPr>
          <w:trHeight w:val="300"/>
          <w:jc w:val="center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Etudes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138 318 €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238 919 €</w:t>
            </w:r>
          </w:p>
        </w:tc>
      </w:tr>
      <w:tr w:rsidR="00CC054B" w:rsidRPr="002E05C9" w:rsidTr="00A6448D">
        <w:trPr>
          <w:trHeight w:val="300"/>
          <w:jc w:val="center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Postes de relèvement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98 932 €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82 886 €</w:t>
            </w:r>
          </w:p>
        </w:tc>
      </w:tr>
      <w:tr w:rsidR="00CC054B" w:rsidRPr="002E05C9" w:rsidTr="00A6448D">
        <w:trPr>
          <w:trHeight w:val="300"/>
          <w:jc w:val="center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Chemisage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84 132 €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50 868 €</w:t>
            </w:r>
          </w:p>
        </w:tc>
      </w:tr>
      <w:tr w:rsidR="00CC054B" w:rsidRPr="002E05C9" w:rsidTr="00A6448D">
        <w:trPr>
          <w:trHeight w:val="300"/>
          <w:jc w:val="center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Voirie Rue Voltaire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34 551 €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</w:tr>
      <w:tr w:rsidR="00CC054B" w:rsidRPr="002E05C9" w:rsidTr="00A6448D">
        <w:trPr>
          <w:trHeight w:val="300"/>
          <w:jc w:val="center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 xml:space="preserve">Voirie </w:t>
            </w:r>
            <w:proofErr w:type="spellStart"/>
            <w:r w:rsidRPr="002E05C9">
              <w:rPr>
                <w:rFonts w:ascii="Calibri" w:eastAsia="Times New Roman" w:hAnsi="Calibri" w:cs="Calibri"/>
                <w:lang w:eastAsia="fr-FR"/>
              </w:rPr>
              <w:t>Blvd</w:t>
            </w:r>
            <w:proofErr w:type="spellEnd"/>
            <w:r w:rsidRPr="002E05C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2E05C9">
              <w:rPr>
                <w:rFonts w:ascii="Calibri" w:eastAsia="Times New Roman" w:hAnsi="Calibri" w:cs="Calibri"/>
                <w:lang w:eastAsia="fr-FR"/>
              </w:rPr>
              <w:t>Pouzet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15 032 €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6 673 €</w:t>
            </w:r>
          </w:p>
        </w:tc>
      </w:tr>
      <w:tr w:rsidR="00CC054B" w:rsidRPr="002E05C9" w:rsidTr="00A6448D">
        <w:trPr>
          <w:trHeight w:val="300"/>
          <w:jc w:val="center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Logiciel métier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4 628 €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27 146 €</w:t>
            </w:r>
          </w:p>
        </w:tc>
      </w:tr>
      <w:tr w:rsidR="00170025" w:rsidRPr="002E05C9" w:rsidTr="00A6448D">
        <w:trPr>
          <w:trHeight w:val="300"/>
          <w:jc w:val="center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25" w:rsidRPr="002E05C9" w:rsidRDefault="00170025" w:rsidP="00FE2C2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Voirie Rue L'</w:t>
            </w:r>
            <w:proofErr w:type="spellStart"/>
            <w:r w:rsidRPr="002E05C9">
              <w:rPr>
                <w:rFonts w:ascii="Calibri" w:eastAsia="Times New Roman" w:hAnsi="Calibri" w:cs="Calibri"/>
                <w:lang w:eastAsia="fr-FR"/>
              </w:rPr>
              <w:t>Herminier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25" w:rsidRPr="002E05C9" w:rsidRDefault="00170025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25" w:rsidRPr="002E05C9" w:rsidRDefault="00170025" w:rsidP="00FE2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37 500 €</w:t>
            </w:r>
          </w:p>
        </w:tc>
      </w:tr>
      <w:tr w:rsidR="00CC054B" w:rsidRPr="002E05C9" w:rsidTr="00A6448D">
        <w:trPr>
          <w:trHeight w:val="300"/>
          <w:jc w:val="center"/>
        </w:trPr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divers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0 €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1 000 €</w:t>
            </w:r>
          </w:p>
        </w:tc>
      </w:tr>
      <w:tr w:rsidR="00CC054B" w:rsidRPr="002E05C9" w:rsidTr="00A6448D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170025" w:rsidP="00CC0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1 017 653 €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54B" w:rsidRPr="002E05C9" w:rsidRDefault="00CC054B" w:rsidP="00CC0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587 084 €</w:t>
            </w:r>
          </w:p>
        </w:tc>
      </w:tr>
    </w:tbl>
    <w:p w:rsidR="0091218C" w:rsidRPr="00170025" w:rsidRDefault="0091218C" w:rsidP="00875C2B">
      <w:pPr>
        <w:pStyle w:val="Titre3"/>
      </w:pPr>
      <w:bookmarkStart w:id="79" w:name="_Toc74317374"/>
      <w:r w:rsidRPr="00170025">
        <w:t>Le résultat 20</w:t>
      </w:r>
      <w:r w:rsidR="00170025" w:rsidRPr="00170025">
        <w:t>20</w:t>
      </w:r>
      <w:r w:rsidRPr="00170025">
        <w:t xml:space="preserve"> et son affectation</w:t>
      </w:r>
      <w:bookmarkEnd w:id="79"/>
    </w:p>
    <w:tbl>
      <w:tblPr>
        <w:tblW w:w="78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6"/>
        <w:gridCol w:w="799"/>
        <w:gridCol w:w="1556"/>
      </w:tblGrid>
      <w:tr w:rsidR="00170025" w:rsidRPr="002E05C9" w:rsidTr="00A6448D">
        <w:trPr>
          <w:trHeight w:val="300"/>
          <w:jc w:val="center"/>
        </w:trPr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70025" w:rsidRPr="002E05C9" w:rsidRDefault="00170025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AFFECTATION DU RESULTAT DE FONCTIONNEMENT 2020</w:t>
            </w:r>
          </w:p>
        </w:tc>
      </w:tr>
      <w:tr w:rsidR="00170025" w:rsidRPr="002E05C9" w:rsidTr="00170025">
        <w:trPr>
          <w:trHeight w:val="30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25" w:rsidRPr="002E05C9" w:rsidRDefault="00170025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FONCTIONNEMENT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25" w:rsidRPr="002E05C9" w:rsidRDefault="00170025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25" w:rsidRPr="002E05C9" w:rsidRDefault="00170025" w:rsidP="00170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9432F" w:rsidRPr="002E05C9" w:rsidTr="00170025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86 930,98 €</w:t>
            </w:r>
          </w:p>
        </w:tc>
      </w:tr>
      <w:tr w:rsidR="0009432F" w:rsidRPr="002E05C9" w:rsidTr="00170025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336 581,65 €</w:t>
            </w:r>
          </w:p>
        </w:tc>
      </w:tr>
      <w:tr w:rsidR="0009432F" w:rsidRPr="002E05C9" w:rsidTr="00170025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= Résultat à affecter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423 512,63 €</w:t>
            </w:r>
          </w:p>
        </w:tc>
      </w:tr>
      <w:tr w:rsidR="0009432F" w:rsidRPr="002E05C9" w:rsidTr="00170025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INVESTISSEMENT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 </w:t>
            </w:r>
          </w:p>
        </w:tc>
      </w:tr>
      <w:tr w:rsidR="0009432F" w:rsidRPr="002E05C9" w:rsidTr="00170025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190 970,44 €</w:t>
            </w:r>
          </w:p>
        </w:tc>
      </w:tr>
      <w:tr w:rsidR="0009432F" w:rsidRPr="002E05C9" w:rsidTr="00170025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-169 374,45 €</w:t>
            </w:r>
          </w:p>
        </w:tc>
      </w:tr>
      <w:tr w:rsidR="0009432F" w:rsidRPr="002E05C9" w:rsidTr="00170025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= Résultat cumulé à reporter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 001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21 595,99 €</w:t>
            </w:r>
          </w:p>
        </w:tc>
      </w:tr>
      <w:tr w:rsidR="0009432F" w:rsidRPr="002E05C9" w:rsidTr="00170025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Solde des restes à réaliser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-219 761,71 €</w:t>
            </w:r>
          </w:p>
        </w:tc>
      </w:tr>
      <w:tr w:rsidR="0009432F" w:rsidRPr="002E05C9" w:rsidTr="00170025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= Besoin de financement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-198 165,72 €</w:t>
            </w:r>
          </w:p>
        </w:tc>
      </w:tr>
      <w:tr w:rsidR="0009432F" w:rsidRPr="002E05C9" w:rsidTr="00170025">
        <w:trPr>
          <w:trHeight w:val="300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AFFECTATION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 </w:t>
            </w:r>
          </w:p>
        </w:tc>
      </w:tr>
      <w:tr w:rsidR="0009432F" w:rsidRPr="002E05C9" w:rsidTr="00170025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Couverture du besoin de financement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 1068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198 165,72 €</w:t>
            </w:r>
          </w:p>
        </w:tc>
      </w:tr>
      <w:tr w:rsidR="0009432F" w:rsidRPr="002E05C9" w:rsidTr="00170025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Excédent de fonctionnement restant à reporter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 002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225 346,91 €</w:t>
            </w:r>
          </w:p>
        </w:tc>
      </w:tr>
      <w:tr w:rsidR="0009432F" w:rsidRPr="002E05C9" w:rsidTr="00170025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Solde des restes à réaliser de fonctionnement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-66 519,75 €</w:t>
            </w:r>
          </w:p>
        </w:tc>
      </w:tr>
      <w:tr w:rsidR="0009432F" w:rsidRPr="002E05C9" w:rsidTr="00170025">
        <w:trPr>
          <w:trHeight w:val="300"/>
          <w:jc w:val="center"/>
        </w:trPr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RESULTAT GLOBAL 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17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432F" w:rsidRPr="002E05C9" w:rsidRDefault="0009432F" w:rsidP="0009432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158 827,16 €</w:t>
            </w:r>
          </w:p>
        </w:tc>
      </w:tr>
    </w:tbl>
    <w:p w:rsidR="0091218C" w:rsidRPr="00F55080" w:rsidRDefault="0091218C" w:rsidP="0091218C">
      <w:pPr>
        <w:spacing w:after="0" w:line="240" w:lineRule="auto"/>
        <w:jc w:val="center"/>
        <w:rPr>
          <w:color w:val="FF0000"/>
        </w:rPr>
      </w:pPr>
    </w:p>
    <w:p w:rsidR="006D260C" w:rsidRDefault="006D260C">
      <w:pPr>
        <w:spacing w:after="200" w:line="276" w:lineRule="auto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0541E" w:rsidRDefault="0080541E" w:rsidP="00FD405D">
      <w:pPr>
        <w:pStyle w:val="Titre2"/>
        <w:spacing w:line="240" w:lineRule="auto"/>
      </w:pPr>
      <w:bookmarkStart w:id="80" w:name="_Toc74317375"/>
      <w:r>
        <w:lastRenderedPageBreak/>
        <w:t>Photovoltaïque</w:t>
      </w:r>
      <w:bookmarkEnd w:id="80"/>
    </w:p>
    <w:p w:rsidR="0080541E" w:rsidRDefault="00B97B5D" w:rsidP="005046DF">
      <w:pPr>
        <w:spacing w:after="200" w:line="276" w:lineRule="auto"/>
        <w:jc w:val="both"/>
      </w:pPr>
      <w:r w:rsidRPr="009225DB">
        <w:t>Ce budget annexe a été créé en 2018 pour retracer la production et la revente d’électricité photovoltaïque par la CARO.</w:t>
      </w:r>
    </w:p>
    <w:p w:rsidR="009225DB" w:rsidRDefault="009225DB" w:rsidP="005046DF">
      <w:pPr>
        <w:spacing w:after="200" w:line="276" w:lineRule="auto"/>
        <w:jc w:val="both"/>
      </w:pPr>
      <w:r w:rsidRPr="009225DB">
        <w:t>Les opérations réalisées en 2020 sont présentées ci-dessous :</w:t>
      </w:r>
    </w:p>
    <w:tbl>
      <w:tblPr>
        <w:tblW w:w="1100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817"/>
        <w:gridCol w:w="1559"/>
        <w:gridCol w:w="1418"/>
        <w:gridCol w:w="1275"/>
        <w:gridCol w:w="1354"/>
      </w:tblGrid>
      <w:tr w:rsidR="00385369" w:rsidRPr="002E05C9" w:rsidTr="00A6448D">
        <w:trPr>
          <w:trHeight w:val="255"/>
          <w:jc w:val="center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85369" w:rsidRPr="002E05C9" w:rsidRDefault="00385369" w:rsidP="003853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Investissement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EVOLUTION</w:t>
            </w:r>
          </w:p>
        </w:tc>
      </w:tr>
      <w:tr w:rsidR="00385369" w:rsidRPr="002E05C9" w:rsidTr="00A6448D">
        <w:trPr>
          <w:trHeight w:val="255"/>
          <w:jc w:val="center"/>
        </w:trPr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85369" w:rsidRPr="002E05C9" w:rsidRDefault="00385369" w:rsidP="003853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2020-2019</w:t>
            </w:r>
          </w:p>
        </w:tc>
      </w:tr>
      <w:tr w:rsidR="00317171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8536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16</w:t>
            </w:r>
          </w:p>
        </w:tc>
        <w:tc>
          <w:tcPr>
            <w:tcW w:w="4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9225D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Emprunts et dettes assimilées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550 €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7 483 €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6 933 €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1 260,6%</w:t>
            </w:r>
          </w:p>
        </w:tc>
      </w:tr>
      <w:tr w:rsidR="00317171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8536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20</w:t>
            </w:r>
          </w:p>
        </w:tc>
        <w:tc>
          <w:tcPr>
            <w:tcW w:w="4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8536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Immobilisations incorporelles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2 225 €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1 850 €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1 850 €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17171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8536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21</w:t>
            </w:r>
          </w:p>
        </w:tc>
        <w:tc>
          <w:tcPr>
            <w:tcW w:w="4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8536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Immobilisations corporelles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128 386 €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8 897 €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8 897 €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85369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27</w:t>
            </w:r>
          </w:p>
        </w:tc>
        <w:tc>
          <w:tcPr>
            <w:tcW w:w="4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 xml:space="preserve">Autres immobilisations </w:t>
            </w:r>
            <w:r w:rsidR="009225DB" w:rsidRPr="002E05C9">
              <w:rPr>
                <w:rFonts w:eastAsia="Times New Roman" w:cstheme="minorHAnsi"/>
                <w:lang w:eastAsia="fr-FR"/>
              </w:rPr>
              <w:t>financières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720 €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720 €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85369" w:rsidRPr="002E05C9" w:rsidTr="009225DB">
        <w:trPr>
          <w:trHeight w:val="255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Total Dépenses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17171" w:rsidP="0038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131 161</w:t>
            </w:r>
            <w:r w:rsidR="00385369" w:rsidRPr="002E05C9">
              <w:rPr>
                <w:rFonts w:eastAsia="Times New Roman" w:cstheme="minorHAnsi"/>
                <w:b/>
                <w:bCs/>
                <w:lang w:eastAsia="fr-FR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18 950 €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18 400 €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3 345,6%</w:t>
            </w:r>
          </w:p>
        </w:tc>
      </w:tr>
      <w:tr w:rsidR="00385369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001</w:t>
            </w:r>
          </w:p>
        </w:tc>
        <w:tc>
          <w:tcPr>
            <w:tcW w:w="4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9225DB" w:rsidP="009225D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Résultat</w:t>
            </w:r>
            <w:r w:rsidR="00385369" w:rsidRPr="002E05C9">
              <w:rPr>
                <w:rFonts w:eastAsia="Times New Roman" w:cstheme="minorHAnsi"/>
                <w:lang w:eastAsia="fr-FR"/>
              </w:rPr>
              <w:t xml:space="preserve"> report</w:t>
            </w:r>
            <w:r w:rsidRPr="002E05C9">
              <w:rPr>
                <w:rFonts w:eastAsia="Times New Roman" w:cstheme="minorHAnsi"/>
                <w:lang w:eastAsia="fr-FR"/>
              </w:rPr>
              <w:t>é</w:t>
            </w:r>
            <w:r w:rsidR="00385369" w:rsidRPr="002E05C9">
              <w:rPr>
                <w:rFonts w:eastAsia="Times New Roman" w:cstheme="minorHAnsi"/>
                <w:lang w:eastAsia="fr-FR"/>
              </w:rPr>
              <w:t xml:space="preserve"> d'investissement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14 839 €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14 839 €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85369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040</w:t>
            </w:r>
          </w:p>
        </w:tc>
        <w:tc>
          <w:tcPr>
            <w:tcW w:w="4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Operations d'ordre de transfert entre sections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4 943 €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4 943 €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85369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10</w:t>
            </w:r>
          </w:p>
        </w:tc>
        <w:tc>
          <w:tcPr>
            <w:tcW w:w="4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9225D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Dotations</w:t>
            </w:r>
            <w:r w:rsidR="009225DB" w:rsidRPr="002E05C9">
              <w:rPr>
                <w:rFonts w:eastAsia="Times New Roman" w:cstheme="minorHAnsi"/>
                <w:lang w:eastAsia="fr-FR"/>
              </w:rPr>
              <w:t xml:space="preserve">, </w:t>
            </w:r>
            <w:r w:rsidRPr="002E05C9">
              <w:rPr>
                <w:rFonts w:eastAsia="Times New Roman" w:cstheme="minorHAnsi"/>
                <w:lang w:eastAsia="fr-FR"/>
              </w:rPr>
              <w:t xml:space="preserve">fonds divers et </w:t>
            </w:r>
            <w:r w:rsidR="009225DB" w:rsidRPr="002E05C9">
              <w:rPr>
                <w:rFonts w:eastAsia="Times New Roman" w:cstheme="minorHAnsi"/>
                <w:lang w:eastAsia="fr-FR"/>
              </w:rPr>
              <w:t>réserves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556 €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556 €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85369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16</w:t>
            </w:r>
          </w:p>
        </w:tc>
        <w:tc>
          <w:tcPr>
            <w:tcW w:w="4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9225D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Emprunts et dettes assimil</w:t>
            </w:r>
            <w:r w:rsidR="009225DB" w:rsidRPr="002E05C9">
              <w:rPr>
                <w:rFonts w:eastAsia="Times New Roman" w:cstheme="minorHAnsi"/>
                <w:lang w:eastAsia="fr-FR"/>
              </w:rPr>
              <w:t>ée</w:t>
            </w:r>
            <w:r w:rsidRPr="002E05C9">
              <w:rPr>
                <w:rFonts w:eastAsia="Times New Roman" w:cstheme="minorHAnsi"/>
                <w:lang w:eastAsia="fr-FR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146 000 €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-146 000 €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-100,0%</w:t>
            </w:r>
          </w:p>
        </w:tc>
      </w:tr>
      <w:tr w:rsidR="00385369" w:rsidRPr="002E05C9" w:rsidTr="009225DB">
        <w:trPr>
          <w:trHeight w:val="255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Total Recettes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146 000 €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20 337 €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-125 663 €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85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-86,1%</w:t>
            </w:r>
          </w:p>
        </w:tc>
      </w:tr>
    </w:tbl>
    <w:p w:rsidR="00ED4AB4" w:rsidRDefault="00ED4AB4" w:rsidP="00C77EAE">
      <w:pPr>
        <w:spacing w:after="0" w:line="240" w:lineRule="auto"/>
        <w:jc w:val="both"/>
      </w:pPr>
    </w:p>
    <w:p w:rsidR="00823DAD" w:rsidRDefault="00823DAD" w:rsidP="00C77EAE">
      <w:pPr>
        <w:spacing w:after="0" w:line="240" w:lineRule="auto"/>
        <w:jc w:val="both"/>
      </w:pPr>
    </w:p>
    <w:p w:rsidR="00823DAD" w:rsidRPr="00F763B7" w:rsidRDefault="00823DAD" w:rsidP="00C77EAE">
      <w:pPr>
        <w:spacing w:after="0" w:line="240" w:lineRule="auto"/>
        <w:jc w:val="both"/>
      </w:pPr>
    </w:p>
    <w:tbl>
      <w:tblPr>
        <w:tblW w:w="1107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843"/>
        <w:gridCol w:w="1533"/>
        <w:gridCol w:w="1418"/>
        <w:gridCol w:w="1312"/>
        <w:gridCol w:w="1381"/>
      </w:tblGrid>
      <w:tr w:rsidR="00385369" w:rsidRPr="002E05C9" w:rsidTr="00A6448D">
        <w:trPr>
          <w:trHeight w:val="255"/>
          <w:jc w:val="center"/>
        </w:trPr>
        <w:tc>
          <w:tcPr>
            <w:tcW w:w="5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85369" w:rsidRPr="002E05C9" w:rsidRDefault="00385369" w:rsidP="00317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Fonctionnement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CA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EVOLUTION</w:t>
            </w:r>
          </w:p>
        </w:tc>
      </w:tr>
      <w:tr w:rsidR="00385369" w:rsidRPr="002E05C9" w:rsidTr="00A6448D">
        <w:trPr>
          <w:trHeight w:val="255"/>
          <w:jc w:val="center"/>
        </w:trPr>
        <w:tc>
          <w:tcPr>
            <w:tcW w:w="5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85369" w:rsidRPr="002E05C9" w:rsidRDefault="00385369" w:rsidP="0031717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2020-2019</w:t>
            </w:r>
          </w:p>
        </w:tc>
      </w:tr>
      <w:tr w:rsidR="00317171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011</w:t>
            </w:r>
          </w:p>
        </w:tc>
        <w:tc>
          <w:tcPr>
            <w:tcW w:w="4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Charges à caractère général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E05C9">
              <w:rPr>
                <w:rFonts w:ascii="Arial" w:hAnsi="Arial" w:cs="Arial"/>
              </w:rPr>
              <w:t>3 346 €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E05C9">
              <w:rPr>
                <w:rFonts w:ascii="Calibri" w:hAnsi="Calibri" w:cs="Calibri"/>
              </w:rPr>
              <w:t>4 400 €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E05C9">
              <w:rPr>
                <w:rFonts w:ascii="Arial" w:hAnsi="Arial" w:cs="Arial"/>
              </w:rPr>
              <w:t>1 054 €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E05C9">
              <w:rPr>
                <w:rFonts w:ascii="Arial" w:hAnsi="Arial" w:cs="Arial"/>
              </w:rPr>
              <w:t>32%</w:t>
            </w:r>
          </w:p>
        </w:tc>
      </w:tr>
      <w:tr w:rsidR="00385369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042</w:t>
            </w:r>
          </w:p>
        </w:tc>
        <w:tc>
          <w:tcPr>
            <w:tcW w:w="4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Operations d'ordre de transfert entre sections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4 943 €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4 943 €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17171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66</w:t>
            </w:r>
          </w:p>
        </w:tc>
        <w:tc>
          <w:tcPr>
            <w:tcW w:w="4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Charges financières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113 €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1 057 €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943 €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832%</w:t>
            </w:r>
          </w:p>
        </w:tc>
      </w:tr>
      <w:tr w:rsidR="00317171" w:rsidRPr="002E05C9" w:rsidTr="009225DB">
        <w:trPr>
          <w:trHeight w:val="255"/>
          <w:jc w:val="center"/>
        </w:trPr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Total Dépenses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3 459 €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10 399 €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6 940 €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201%</w:t>
            </w:r>
          </w:p>
        </w:tc>
      </w:tr>
      <w:tr w:rsidR="00385369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002</w:t>
            </w:r>
          </w:p>
        </w:tc>
        <w:tc>
          <w:tcPr>
            <w:tcW w:w="4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9225DB" w:rsidP="0031717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Résultat</w:t>
            </w:r>
            <w:r w:rsidR="00385369" w:rsidRPr="002E05C9">
              <w:rPr>
                <w:rFonts w:eastAsia="Times New Roman" w:cstheme="minorHAnsi"/>
                <w:lang w:eastAsia="fr-FR"/>
              </w:rPr>
              <w:t xml:space="preserve"> report</w:t>
            </w:r>
            <w:r w:rsidRPr="002E05C9">
              <w:rPr>
                <w:rFonts w:eastAsia="Times New Roman" w:cstheme="minorHAnsi"/>
                <w:lang w:eastAsia="fr-FR"/>
              </w:rPr>
              <w:t>é</w:t>
            </w:r>
            <w:r w:rsidR="00385369" w:rsidRPr="002E05C9">
              <w:rPr>
                <w:rFonts w:eastAsia="Times New Roman" w:cstheme="minorHAnsi"/>
                <w:lang w:eastAsia="fr-FR"/>
              </w:rPr>
              <w:t xml:space="preserve"> de fonctionnement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986 €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986 €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0,0%</w:t>
            </w:r>
          </w:p>
        </w:tc>
      </w:tr>
      <w:tr w:rsidR="00317171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70</w:t>
            </w:r>
          </w:p>
        </w:tc>
        <w:tc>
          <w:tcPr>
            <w:tcW w:w="4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Produits de services, du domaine &amp; ventes diverses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5 000 €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 xml:space="preserve">2 776 €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-2 224 €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-44%</w:t>
            </w:r>
          </w:p>
        </w:tc>
      </w:tr>
      <w:tr w:rsidR="00385369" w:rsidRPr="002E05C9" w:rsidTr="00D64DC9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75</w:t>
            </w:r>
          </w:p>
        </w:tc>
        <w:tc>
          <w:tcPr>
            <w:tcW w:w="4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Autres produits de gestion courante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-1 €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69" w:rsidRPr="002E05C9" w:rsidRDefault="00385369" w:rsidP="00317171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-100,0%</w:t>
            </w:r>
          </w:p>
        </w:tc>
      </w:tr>
      <w:tr w:rsidR="00317171" w:rsidRPr="002E05C9" w:rsidTr="009225DB">
        <w:trPr>
          <w:trHeight w:val="255"/>
          <w:jc w:val="center"/>
        </w:trPr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lang w:eastAsia="fr-FR"/>
              </w:rPr>
              <w:t>Total Recettes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5 001 €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3 762 €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-1 239 €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2E05C9" w:rsidRDefault="00317171" w:rsidP="0031717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-25%</w:t>
            </w:r>
          </w:p>
        </w:tc>
      </w:tr>
    </w:tbl>
    <w:p w:rsidR="00B97B5D" w:rsidRPr="00F763B7" w:rsidRDefault="00B97B5D" w:rsidP="00B97B5D">
      <w:pPr>
        <w:spacing w:after="0" w:line="240" w:lineRule="auto"/>
        <w:jc w:val="both"/>
      </w:pPr>
    </w:p>
    <w:p w:rsidR="00823DAD" w:rsidRDefault="00823DAD">
      <w:pPr>
        <w:spacing w:after="200" w:line="276" w:lineRule="auto"/>
        <w:rPr>
          <w:rFonts w:eastAsiaTheme="majorEastAsia" w:cstheme="majorBidi"/>
          <w:b/>
          <w:bCs/>
          <w:color w:val="4F81BD" w:themeColor="accent1"/>
          <w:sz w:val="24"/>
        </w:rPr>
      </w:pPr>
      <w:r>
        <w:br w:type="page"/>
      </w:r>
    </w:p>
    <w:p w:rsidR="00CF6595" w:rsidRDefault="00CF6595" w:rsidP="00875C2B">
      <w:pPr>
        <w:pStyle w:val="Titre3"/>
      </w:pPr>
      <w:bookmarkStart w:id="81" w:name="_Toc74317376"/>
      <w:r>
        <w:lastRenderedPageBreak/>
        <w:t>L’analyse</w:t>
      </w:r>
      <w:bookmarkEnd w:id="81"/>
    </w:p>
    <w:p w:rsidR="00B1054D" w:rsidRPr="00F763B7" w:rsidRDefault="00B1054D" w:rsidP="005046DF">
      <w:pPr>
        <w:spacing w:after="200" w:line="276" w:lineRule="auto"/>
        <w:jc w:val="both"/>
      </w:pPr>
      <w:r w:rsidRPr="00F763B7">
        <w:t>Les éléments à noter sur l’exécution du budget 2</w:t>
      </w:r>
      <w:r w:rsidR="00F763B7" w:rsidRPr="00F763B7">
        <w:t>020</w:t>
      </w:r>
      <w:r w:rsidRPr="00F763B7">
        <w:t xml:space="preserve"> sont :</w:t>
      </w:r>
    </w:p>
    <w:p w:rsidR="0075473C" w:rsidRPr="00823DAD" w:rsidRDefault="0075473C" w:rsidP="00823DAD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>
        <w:t>Depuis juin 2020, les installations sur les ateliers de la CARO à Soubise produisent de l’électricité, générant ainsi des recettes.</w:t>
      </w:r>
    </w:p>
    <w:p w:rsidR="00823DAD" w:rsidRPr="00BA41E4" w:rsidRDefault="00D25946" w:rsidP="00823DAD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BA41E4">
        <w:t xml:space="preserve">Des dépenses d’équipement réalisées à hauteur de </w:t>
      </w:r>
      <w:r w:rsidR="00F763B7" w:rsidRPr="00BA41E4">
        <w:t>11</w:t>
      </w:r>
      <w:r w:rsidRPr="00BA41E4">
        <w:t xml:space="preserve"> K€</w:t>
      </w:r>
      <w:r w:rsidR="0075473C">
        <w:t> :</w:t>
      </w:r>
    </w:p>
    <w:tbl>
      <w:tblPr>
        <w:tblW w:w="54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1619"/>
        <w:gridCol w:w="1500"/>
      </w:tblGrid>
      <w:tr w:rsidR="00F763B7" w:rsidRPr="002E05C9" w:rsidTr="00823DAD">
        <w:trPr>
          <w:trHeight w:val="255"/>
          <w:jc w:val="center"/>
        </w:trPr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F763B7" w:rsidRPr="002E05C9" w:rsidRDefault="00F763B7" w:rsidP="00F763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763B7" w:rsidRPr="002E05C9" w:rsidRDefault="00170025" w:rsidP="001700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Mandaté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F763B7" w:rsidRPr="002E05C9" w:rsidRDefault="00F763B7" w:rsidP="001700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Reports</w:t>
            </w:r>
          </w:p>
        </w:tc>
      </w:tr>
      <w:tr w:rsidR="00F763B7" w:rsidRPr="002E05C9" w:rsidTr="00823DAD">
        <w:trPr>
          <w:trHeight w:val="255"/>
          <w:jc w:val="center"/>
        </w:trPr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B7" w:rsidRPr="002E05C9" w:rsidRDefault="00F763B7" w:rsidP="00F763B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Ateliers CARO Soubise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B7" w:rsidRPr="002E05C9" w:rsidRDefault="00F763B7" w:rsidP="00F763B7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7 429 €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B7" w:rsidRPr="002E05C9" w:rsidRDefault="00F763B7" w:rsidP="00F763B7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290 €</w:t>
            </w:r>
          </w:p>
        </w:tc>
      </w:tr>
      <w:tr w:rsidR="00F763B7" w:rsidRPr="002E05C9" w:rsidTr="00170025">
        <w:trPr>
          <w:trHeight w:val="255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B7" w:rsidRPr="002E05C9" w:rsidRDefault="00BA41E4" w:rsidP="00F763B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La C</w:t>
            </w:r>
            <w:r w:rsidR="00F763B7" w:rsidRPr="002E05C9">
              <w:rPr>
                <w:rFonts w:eastAsia="Times New Roman" w:cstheme="minorHAnsi"/>
                <w:lang w:eastAsia="fr-FR"/>
              </w:rPr>
              <w:t>oudre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B7" w:rsidRPr="002E05C9" w:rsidRDefault="00F763B7" w:rsidP="00F763B7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2 068 €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B7" w:rsidRPr="002E05C9" w:rsidRDefault="00F763B7" w:rsidP="00F763B7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</w:tr>
      <w:tr w:rsidR="00F763B7" w:rsidRPr="002E05C9" w:rsidTr="00170025">
        <w:trPr>
          <w:trHeight w:val="255"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B7" w:rsidRPr="002E05C9" w:rsidRDefault="00F763B7" w:rsidP="00F763B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Station de lagunage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B7" w:rsidRPr="002E05C9" w:rsidRDefault="00F763B7" w:rsidP="00F763B7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1 250 €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B7" w:rsidRPr="002E05C9" w:rsidRDefault="00F763B7" w:rsidP="00F763B7">
            <w:pPr>
              <w:spacing w:after="0"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2E05C9">
              <w:rPr>
                <w:rFonts w:eastAsia="Times New Roman" w:cstheme="minorHAnsi"/>
                <w:lang w:eastAsia="fr-FR"/>
              </w:rPr>
              <w:t>0 €</w:t>
            </w:r>
          </w:p>
        </w:tc>
      </w:tr>
      <w:tr w:rsidR="00F763B7" w:rsidRPr="002E05C9" w:rsidTr="00170025">
        <w:trPr>
          <w:trHeight w:val="255"/>
          <w:jc w:val="center"/>
        </w:trPr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B7" w:rsidRPr="002E05C9" w:rsidRDefault="00BA41E4" w:rsidP="00F763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B7" w:rsidRPr="002E05C9" w:rsidRDefault="00F763B7" w:rsidP="00F763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10 747 €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3B7" w:rsidRPr="002E05C9" w:rsidRDefault="00F763B7" w:rsidP="00F763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E05C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290 €</w:t>
            </w:r>
          </w:p>
        </w:tc>
      </w:tr>
    </w:tbl>
    <w:p w:rsidR="00823DAD" w:rsidRDefault="00823DAD" w:rsidP="00823DAD">
      <w:pPr>
        <w:pStyle w:val="Titre3"/>
        <w:numPr>
          <w:ilvl w:val="0"/>
          <w:numId w:val="0"/>
        </w:numPr>
        <w:ind w:left="1440"/>
        <w:rPr>
          <w:noProof/>
          <w:lang w:eastAsia="fr-FR"/>
        </w:rPr>
      </w:pPr>
    </w:p>
    <w:p w:rsidR="00823DAD" w:rsidRPr="00823DAD" w:rsidRDefault="00823DAD" w:rsidP="00823DAD">
      <w:pPr>
        <w:rPr>
          <w:lang w:eastAsia="fr-FR"/>
        </w:rPr>
      </w:pPr>
    </w:p>
    <w:p w:rsidR="0080541E" w:rsidRPr="00CB7FC5" w:rsidRDefault="0091218C" w:rsidP="00875C2B">
      <w:pPr>
        <w:pStyle w:val="Titre3"/>
        <w:rPr>
          <w:noProof/>
          <w:lang w:eastAsia="fr-FR"/>
        </w:rPr>
      </w:pPr>
      <w:bookmarkStart w:id="82" w:name="_Toc74317377"/>
      <w:r w:rsidRPr="00CB7FC5">
        <w:t>Le résultat 20</w:t>
      </w:r>
      <w:r w:rsidR="00CB7FC5" w:rsidRPr="00CB7FC5">
        <w:t>20</w:t>
      </w:r>
      <w:r w:rsidRPr="00CB7FC5">
        <w:t xml:space="preserve"> et son affectation</w:t>
      </w:r>
      <w:bookmarkEnd w:id="82"/>
    </w:p>
    <w:tbl>
      <w:tblPr>
        <w:tblW w:w="7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4"/>
        <w:gridCol w:w="813"/>
        <w:gridCol w:w="1443"/>
      </w:tblGrid>
      <w:tr w:rsidR="00CB7FC5" w:rsidRPr="002E05C9" w:rsidTr="00A6448D">
        <w:trPr>
          <w:trHeight w:val="300"/>
          <w:jc w:val="center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B7FC5" w:rsidRPr="002E05C9" w:rsidRDefault="00CB7FC5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AFFECTATION DU RESULTAT DE FONCTIONNEMENT 2020</w:t>
            </w:r>
          </w:p>
        </w:tc>
      </w:tr>
      <w:tr w:rsidR="00CB7FC5" w:rsidRPr="002E05C9" w:rsidTr="00CB7FC5">
        <w:trPr>
          <w:trHeight w:val="300"/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FC5" w:rsidRPr="002E05C9" w:rsidRDefault="00CB7FC5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FONCTIONNEMENT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FC5" w:rsidRPr="002E05C9" w:rsidRDefault="00CB7FC5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C5" w:rsidRPr="002E05C9" w:rsidRDefault="00CB7FC5" w:rsidP="00CB7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C621C4" w:rsidRPr="002E05C9" w:rsidTr="00CB7FC5">
        <w:trPr>
          <w:trHeight w:val="300"/>
          <w:jc w:val="center"/>
        </w:trPr>
        <w:tc>
          <w:tcPr>
            <w:tcW w:w="5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621C4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985,73 €</w:t>
            </w:r>
          </w:p>
        </w:tc>
      </w:tr>
      <w:tr w:rsidR="00C621C4" w:rsidRPr="002E05C9" w:rsidTr="00CB7FC5">
        <w:trPr>
          <w:trHeight w:val="300"/>
          <w:jc w:val="center"/>
        </w:trPr>
        <w:tc>
          <w:tcPr>
            <w:tcW w:w="5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21C4" w:rsidRPr="002E05C9" w:rsidRDefault="00C621C4" w:rsidP="002E05C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21C4" w:rsidRPr="002E05C9" w:rsidRDefault="00C621C4" w:rsidP="00C621C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-7 622,83 €</w:t>
            </w:r>
          </w:p>
        </w:tc>
      </w:tr>
      <w:tr w:rsidR="00C621C4" w:rsidRPr="002E05C9" w:rsidTr="00CB7FC5">
        <w:trPr>
          <w:trHeight w:val="300"/>
          <w:jc w:val="center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2E05C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= Résultat à affecter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621C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-6 637,10 €</w:t>
            </w:r>
          </w:p>
        </w:tc>
      </w:tr>
      <w:tr w:rsidR="00C621C4" w:rsidRPr="002E05C9" w:rsidTr="00CB7FC5">
        <w:trPr>
          <w:trHeight w:val="300"/>
          <w:jc w:val="center"/>
        </w:trPr>
        <w:tc>
          <w:tcPr>
            <w:tcW w:w="5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INVESTISSEMENT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621C4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 </w:t>
            </w:r>
          </w:p>
        </w:tc>
      </w:tr>
      <w:tr w:rsidR="00C621C4" w:rsidRPr="002E05C9" w:rsidTr="00CB7FC5">
        <w:trPr>
          <w:trHeight w:val="300"/>
          <w:jc w:val="center"/>
        </w:trPr>
        <w:tc>
          <w:tcPr>
            <w:tcW w:w="5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Résultat antérieur reporté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621C4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14 838,93 €</w:t>
            </w:r>
          </w:p>
        </w:tc>
      </w:tr>
      <w:tr w:rsidR="00C621C4" w:rsidRPr="002E05C9" w:rsidTr="00CB7FC5">
        <w:trPr>
          <w:trHeight w:val="300"/>
          <w:jc w:val="center"/>
        </w:trPr>
        <w:tc>
          <w:tcPr>
            <w:tcW w:w="5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21C4" w:rsidRPr="002E05C9" w:rsidRDefault="00C621C4" w:rsidP="002E05C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Résultat de l'exercice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21C4" w:rsidRPr="002E05C9" w:rsidRDefault="00C621C4" w:rsidP="00C621C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-13 451,69 €</w:t>
            </w:r>
          </w:p>
        </w:tc>
      </w:tr>
      <w:tr w:rsidR="00C621C4" w:rsidRPr="002E05C9" w:rsidTr="00CB7FC5">
        <w:trPr>
          <w:trHeight w:val="300"/>
          <w:jc w:val="center"/>
        </w:trPr>
        <w:tc>
          <w:tcPr>
            <w:tcW w:w="5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= Résultat cumulé à reporter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 001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621C4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1 387,24 €</w:t>
            </w:r>
          </w:p>
        </w:tc>
      </w:tr>
      <w:tr w:rsidR="00C621C4" w:rsidRPr="002E05C9" w:rsidTr="00CB7FC5">
        <w:trPr>
          <w:trHeight w:val="300"/>
          <w:jc w:val="center"/>
        </w:trPr>
        <w:tc>
          <w:tcPr>
            <w:tcW w:w="5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Solde des restes à réaliser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621C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-290,00 €</w:t>
            </w:r>
          </w:p>
        </w:tc>
      </w:tr>
      <w:tr w:rsidR="00C621C4" w:rsidRPr="002E05C9" w:rsidTr="00CB7FC5">
        <w:trPr>
          <w:trHeight w:val="300"/>
          <w:jc w:val="center"/>
        </w:trPr>
        <w:tc>
          <w:tcPr>
            <w:tcW w:w="5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2E05C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= </w:t>
            </w:r>
            <w:r w:rsidR="00626240"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Capacité</w:t>
            </w: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de financement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621C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1 097,24 €</w:t>
            </w:r>
          </w:p>
        </w:tc>
      </w:tr>
      <w:tr w:rsidR="00C621C4" w:rsidRPr="002E05C9" w:rsidTr="00CB7FC5">
        <w:trPr>
          <w:trHeight w:val="300"/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AFFECTATION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621C4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 </w:t>
            </w:r>
          </w:p>
        </w:tc>
      </w:tr>
      <w:tr w:rsidR="00C621C4" w:rsidRPr="002E05C9" w:rsidTr="00CB7FC5">
        <w:trPr>
          <w:trHeight w:val="300"/>
          <w:jc w:val="center"/>
        </w:trPr>
        <w:tc>
          <w:tcPr>
            <w:tcW w:w="5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Couverture du besoin de financement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R 1068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4" w:rsidRPr="002E05C9" w:rsidRDefault="00626240" w:rsidP="00C621C4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0,00</w:t>
            </w:r>
            <w:r w:rsidR="00C621C4" w:rsidRPr="002E05C9">
              <w:rPr>
                <w:rFonts w:ascii="Calibri" w:hAnsi="Calibri" w:cs="Calibri"/>
              </w:rPr>
              <w:t xml:space="preserve"> €</w:t>
            </w:r>
          </w:p>
        </w:tc>
      </w:tr>
      <w:tr w:rsidR="00C621C4" w:rsidRPr="002E05C9" w:rsidTr="00CB7FC5">
        <w:trPr>
          <w:trHeight w:val="300"/>
          <w:jc w:val="center"/>
        </w:trPr>
        <w:tc>
          <w:tcPr>
            <w:tcW w:w="5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Excédent de fonctionnement restant à reporter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D 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621C4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E05C9">
              <w:rPr>
                <w:rFonts w:ascii="Calibri" w:hAnsi="Calibri" w:cs="Calibri"/>
              </w:rPr>
              <w:t>-5 539,86 €</w:t>
            </w:r>
          </w:p>
        </w:tc>
      </w:tr>
      <w:tr w:rsidR="00C621C4" w:rsidRPr="002E05C9" w:rsidTr="00CB7FC5">
        <w:trPr>
          <w:trHeight w:val="300"/>
          <w:jc w:val="center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2E05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Solde des restes à réaliser de fonctionnement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4" w:rsidRPr="002E05C9" w:rsidRDefault="00C621C4" w:rsidP="00C621C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7 000,00 €</w:t>
            </w:r>
          </w:p>
        </w:tc>
      </w:tr>
      <w:tr w:rsidR="00C621C4" w:rsidRPr="002E05C9" w:rsidTr="00CB7FC5">
        <w:trPr>
          <w:trHeight w:val="300"/>
          <w:jc w:val="center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RESULTAT GLOBAL 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1C4" w:rsidRPr="002E05C9" w:rsidRDefault="00C621C4" w:rsidP="00CB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E05C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21C4" w:rsidRPr="002E05C9" w:rsidRDefault="00C621C4" w:rsidP="00C621C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2E05C9">
              <w:rPr>
                <w:rFonts w:ascii="Calibri" w:hAnsi="Calibri" w:cs="Calibri"/>
                <w:b/>
                <w:bCs/>
              </w:rPr>
              <w:t>1 460,14 €</w:t>
            </w:r>
          </w:p>
        </w:tc>
      </w:tr>
    </w:tbl>
    <w:p w:rsidR="002112E9" w:rsidRPr="00F55080" w:rsidRDefault="002112E9" w:rsidP="00FD405D">
      <w:pPr>
        <w:spacing w:after="0" w:line="240" w:lineRule="auto"/>
        <w:rPr>
          <w:color w:val="FF0000"/>
        </w:rPr>
      </w:pPr>
    </w:p>
    <w:sectPr w:rsidR="002112E9" w:rsidRPr="00F55080" w:rsidSect="005D17B0">
      <w:headerReference w:type="default" r:id="rId21"/>
      <w:footerReference w:type="default" r:id="rId22"/>
      <w:headerReference w:type="first" r:id="rId2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B0" w:rsidRDefault="005D17B0" w:rsidP="0099604F">
      <w:pPr>
        <w:spacing w:after="0" w:line="240" w:lineRule="auto"/>
      </w:pPr>
      <w:r>
        <w:separator/>
      </w:r>
    </w:p>
  </w:endnote>
  <w:endnote w:type="continuationSeparator" w:id="0">
    <w:p w:rsidR="005D17B0" w:rsidRDefault="005D17B0" w:rsidP="0099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88501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5D17B0" w:rsidRDefault="005D17B0" w:rsidP="0099604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1F2F">
              <w:rPr>
                <w:b/>
                <w:noProof/>
              </w:rPr>
              <w:t>40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1F2F">
              <w:rPr>
                <w:b/>
                <w:noProof/>
              </w:rPr>
              <w:t>47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B0" w:rsidRDefault="005D17B0" w:rsidP="0099604F">
      <w:pPr>
        <w:spacing w:after="0" w:line="240" w:lineRule="auto"/>
      </w:pPr>
      <w:r>
        <w:separator/>
      </w:r>
    </w:p>
  </w:footnote>
  <w:footnote w:type="continuationSeparator" w:id="0">
    <w:p w:rsidR="005D17B0" w:rsidRDefault="005D17B0" w:rsidP="0099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B0" w:rsidRDefault="005D17B0" w:rsidP="0099604F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5D17B0" w:rsidRDefault="005D17B0">
        <w:pPr>
          <w:pStyle w:val="En-tte"/>
        </w:pPr>
        <w:r>
          <w:t>[Texte]</w:t>
        </w:r>
      </w:p>
    </w:sdtContent>
  </w:sdt>
  <w:p w:rsidR="005D17B0" w:rsidRDefault="005D17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19B"/>
    <w:multiLevelType w:val="hybridMultilevel"/>
    <w:tmpl w:val="30E29F50"/>
    <w:lvl w:ilvl="0" w:tplc="26A84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6243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C8DD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C485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968C2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146DC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C287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57052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9CAA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04C108D3"/>
    <w:multiLevelType w:val="hybridMultilevel"/>
    <w:tmpl w:val="690A41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B16EF"/>
    <w:multiLevelType w:val="hybridMultilevel"/>
    <w:tmpl w:val="15D4C700"/>
    <w:lvl w:ilvl="0" w:tplc="D2025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C063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BF676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276D4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7A2B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CC034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FF88E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5703B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BAF4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7ED151F"/>
    <w:multiLevelType w:val="hybridMultilevel"/>
    <w:tmpl w:val="613E017A"/>
    <w:lvl w:ilvl="0" w:tplc="57FCD5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C2A29"/>
    <w:multiLevelType w:val="multilevel"/>
    <w:tmpl w:val="1F487ED6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Titre4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1A560743"/>
    <w:multiLevelType w:val="hybridMultilevel"/>
    <w:tmpl w:val="81CC0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841EB"/>
    <w:multiLevelType w:val="hybridMultilevel"/>
    <w:tmpl w:val="0BA0402A"/>
    <w:lvl w:ilvl="0" w:tplc="F72E4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6AC3D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0407F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7740D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00CD0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AC491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2368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8829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ADCDE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2479667C"/>
    <w:multiLevelType w:val="hybridMultilevel"/>
    <w:tmpl w:val="DDDA78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06FFE"/>
    <w:multiLevelType w:val="hybridMultilevel"/>
    <w:tmpl w:val="8236E0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0298E"/>
    <w:multiLevelType w:val="hybridMultilevel"/>
    <w:tmpl w:val="0136BA1C"/>
    <w:lvl w:ilvl="0" w:tplc="850A7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E1AEE"/>
    <w:multiLevelType w:val="hybridMultilevel"/>
    <w:tmpl w:val="C756B216"/>
    <w:lvl w:ilvl="0" w:tplc="9C505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ACC4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40BC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7DCAF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E3427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77857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5F2AE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FFE17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B328D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272745DC"/>
    <w:multiLevelType w:val="hybridMultilevel"/>
    <w:tmpl w:val="B74ED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1035C"/>
    <w:multiLevelType w:val="hybridMultilevel"/>
    <w:tmpl w:val="13E8FEC0"/>
    <w:lvl w:ilvl="0" w:tplc="A68A8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2819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EEC12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9FCA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0060A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349C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7C26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20CEE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728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37C7133E"/>
    <w:multiLevelType w:val="hybridMultilevel"/>
    <w:tmpl w:val="BF72F14E"/>
    <w:lvl w:ilvl="0" w:tplc="05AE4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F2EB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8AE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316EC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C0A1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3A6D1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5CC3E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6EA6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380A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38EB536C"/>
    <w:multiLevelType w:val="hybridMultilevel"/>
    <w:tmpl w:val="23FE2AF8"/>
    <w:lvl w:ilvl="0" w:tplc="B3A2F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7C41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82804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D7E5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8C6CA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54AB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A9812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8BA80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7EA5F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445109A4"/>
    <w:multiLevelType w:val="hybridMultilevel"/>
    <w:tmpl w:val="FEA83D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B7B47"/>
    <w:multiLevelType w:val="hybridMultilevel"/>
    <w:tmpl w:val="4BB6059E"/>
    <w:lvl w:ilvl="0" w:tplc="028C0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BEAC7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844E3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B1476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2C88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AD82B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0C90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3286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DCC22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>
    <w:nsid w:val="4D4C2B37"/>
    <w:multiLevelType w:val="hybridMultilevel"/>
    <w:tmpl w:val="31AA8C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44B0C"/>
    <w:multiLevelType w:val="hybridMultilevel"/>
    <w:tmpl w:val="B984780A"/>
    <w:lvl w:ilvl="0" w:tplc="77045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0F3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B588A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31009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D74C5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60EC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E2CF5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6ACE6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C2DE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>
    <w:nsid w:val="625C1F12"/>
    <w:multiLevelType w:val="hybridMultilevel"/>
    <w:tmpl w:val="38D011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C14E4"/>
    <w:multiLevelType w:val="hybridMultilevel"/>
    <w:tmpl w:val="2D2C53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E5833"/>
    <w:multiLevelType w:val="hybridMultilevel"/>
    <w:tmpl w:val="B3A430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00353"/>
    <w:multiLevelType w:val="hybridMultilevel"/>
    <w:tmpl w:val="74A65EBA"/>
    <w:lvl w:ilvl="0" w:tplc="63ECD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EEA2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EDC0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284C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8D2DD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A7C7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31A5F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38A9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30098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>
    <w:nsid w:val="67766F2D"/>
    <w:multiLevelType w:val="hybridMultilevel"/>
    <w:tmpl w:val="CDD86830"/>
    <w:lvl w:ilvl="0" w:tplc="DD9E9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C665D"/>
    <w:multiLevelType w:val="hybridMultilevel"/>
    <w:tmpl w:val="87CC0B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04B02"/>
    <w:multiLevelType w:val="hybridMultilevel"/>
    <w:tmpl w:val="9A90F8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3"/>
  </w:num>
  <w:num w:numId="5">
    <w:abstractNumId w:val="20"/>
  </w:num>
  <w:num w:numId="6">
    <w:abstractNumId w:val="24"/>
  </w:num>
  <w:num w:numId="7">
    <w:abstractNumId w:val="21"/>
  </w:num>
  <w:num w:numId="8">
    <w:abstractNumId w:val="7"/>
  </w:num>
  <w:num w:numId="9">
    <w:abstractNumId w:val="17"/>
  </w:num>
  <w:num w:numId="10">
    <w:abstractNumId w:val="1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25"/>
  </w:num>
  <w:num w:numId="16">
    <w:abstractNumId w:val="14"/>
  </w:num>
  <w:num w:numId="17">
    <w:abstractNumId w:val="10"/>
  </w:num>
  <w:num w:numId="18">
    <w:abstractNumId w:val="2"/>
  </w:num>
  <w:num w:numId="19">
    <w:abstractNumId w:val="18"/>
  </w:num>
  <w:num w:numId="20">
    <w:abstractNumId w:val="22"/>
  </w:num>
  <w:num w:numId="21">
    <w:abstractNumId w:val="13"/>
  </w:num>
  <w:num w:numId="22">
    <w:abstractNumId w:val="12"/>
  </w:num>
  <w:num w:numId="23">
    <w:abstractNumId w:val="16"/>
  </w:num>
  <w:num w:numId="24">
    <w:abstractNumId w:val="6"/>
  </w:num>
  <w:num w:numId="25">
    <w:abstractNumId w:val="0"/>
  </w:num>
  <w:num w:numId="2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1E"/>
    <w:rsid w:val="00013F1A"/>
    <w:rsid w:val="00040605"/>
    <w:rsid w:val="00042A17"/>
    <w:rsid w:val="00046A6C"/>
    <w:rsid w:val="00052A6D"/>
    <w:rsid w:val="0005522A"/>
    <w:rsid w:val="00056213"/>
    <w:rsid w:val="00060805"/>
    <w:rsid w:val="000655E8"/>
    <w:rsid w:val="00074255"/>
    <w:rsid w:val="00074E34"/>
    <w:rsid w:val="00076AD6"/>
    <w:rsid w:val="00090A30"/>
    <w:rsid w:val="0009169B"/>
    <w:rsid w:val="00092FEF"/>
    <w:rsid w:val="0009432F"/>
    <w:rsid w:val="000A0567"/>
    <w:rsid w:val="000A1F2F"/>
    <w:rsid w:val="000A6396"/>
    <w:rsid w:val="000B30C2"/>
    <w:rsid w:val="000C0643"/>
    <w:rsid w:val="000C156A"/>
    <w:rsid w:val="000D634F"/>
    <w:rsid w:val="000E1CBD"/>
    <w:rsid w:val="000E58EA"/>
    <w:rsid w:val="000E6B47"/>
    <w:rsid w:val="000E7BE4"/>
    <w:rsid w:val="000F2FB8"/>
    <w:rsid w:val="000F3D3A"/>
    <w:rsid w:val="00101CAE"/>
    <w:rsid w:val="00103884"/>
    <w:rsid w:val="00105988"/>
    <w:rsid w:val="00110B63"/>
    <w:rsid w:val="00111444"/>
    <w:rsid w:val="0011144B"/>
    <w:rsid w:val="00113F96"/>
    <w:rsid w:val="0012253A"/>
    <w:rsid w:val="00127567"/>
    <w:rsid w:val="001302B8"/>
    <w:rsid w:val="00130B1A"/>
    <w:rsid w:val="00132135"/>
    <w:rsid w:val="001339DD"/>
    <w:rsid w:val="001403B3"/>
    <w:rsid w:val="0014760B"/>
    <w:rsid w:val="0015328E"/>
    <w:rsid w:val="00162D7E"/>
    <w:rsid w:val="00170025"/>
    <w:rsid w:val="00173CEC"/>
    <w:rsid w:val="00174811"/>
    <w:rsid w:val="00196EB1"/>
    <w:rsid w:val="001B446D"/>
    <w:rsid w:val="001B45DA"/>
    <w:rsid w:val="001B6881"/>
    <w:rsid w:val="001C720E"/>
    <w:rsid w:val="001F77DE"/>
    <w:rsid w:val="002044AB"/>
    <w:rsid w:val="002048D7"/>
    <w:rsid w:val="00204B74"/>
    <w:rsid w:val="00205732"/>
    <w:rsid w:val="002112E9"/>
    <w:rsid w:val="00212E46"/>
    <w:rsid w:val="00215750"/>
    <w:rsid w:val="002169EA"/>
    <w:rsid w:val="00217500"/>
    <w:rsid w:val="0022787A"/>
    <w:rsid w:val="002369DD"/>
    <w:rsid w:val="0024099D"/>
    <w:rsid w:val="0024430D"/>
    <w:rsid w:val="002515E7"/>
    <w:rsid w:val="0025256B"/>
    <w:rsid w:val="002629DE"/>
    <w:rsid w:val="002638E9"/>
    <w:rsid w:val="002742D9"/>
    <w:rsid w:val="002821F7"/>
    <w:rsid w:val="002A24BB"/>
    <w:rsid w:val="002B14D8"/>
    <w:rsid w:val="002C45F3"/>
    <w:rsid w:val="002C6275"/>
    <w:rsid w:val="002E05C9"/>
    <w:rsid w:val="002F08C6"/>
    <w:rsid w:val="002F40A0"/>
    <w:rsid w:val="002F5612"/>
    <w:rsid w:val="003009C2"/>
    <w:rsid w:val="00307321"/>
    <w:rsid w:val="003130D0"/>
    <w:rsid w:val="00317171"/>
    <w:rsid w:val="00317531"/>
    <w:rsid w:val="003254C4"/>
    <w:rsid w:val="00326ED3"/>
    <w:rsid w:val="00327894"/>
    <w:rsid w:val="003319A4"/>
    <w:rsid w:val="00333120"/>
    <w:rsid w:val="00341610"/>
    <w:rsid w:val="00346768"/>
    <w:rsid w:val="00346B20"/>
    <w:rsid w:val="00352348"/>
    <w:rsid w:val="00356B09"/>
    <w:rsid w:val="00360763"/>
    <w:rsid w:val="00370694"/>
    <w:rsid w:val="00373A34"/>
    <w:rsid w:val="00385369"/>
    <w:rsid w:val="00393BBD"/>
    <w:rsid w:val="003A4451"/>
    <w:rsid w:val="003B36C6"/>
    <w:rsid w:val="003B3811"/>
    <w:rsid w:val="003B3845"/>
    <w:rsid w:val="003B6237"/>
    <w:rsid w:val="003B74F2"/>
    <w:rsid w:val="003C680A"/>
    <w:rsid w:val="003C6FAB"/>
    <w:rsid w:val="003C78D6"/>
    <w:rsid w:val="003D777D"/>
    <w:rsid w:val="003E1434"/>
    <w:rsid w:val="003E15D3"/>
    <w:rsid w:val="003E6CC0"/>
    <w:rsid w:val="004104BD"/>
    <w:rsid w:val="00415284"/>
    <w:rsid w:val="00415E78"/>
    <w:rsid w:val="00423F3B"/>
    <w:rsid w:val="004319A4"/>
    <w:rsid w:val="0044318D"/>
    <w:rsid w:val="0044520D"/>
    <w:rsid w:val="004641E9"/>
    <w:rsid w:val="00465C26"/>
    <w:rsid w:val="00475C4C"/>
    <w:rsid w:val="00480970"/>
    <w:rsid w:val="00480D7C"/>
    <w:rsid w:val="00486B62"/>
    <w:rsid w:val="004A49E0"/>
    <w:rsid w:val="004B3AF7"/>
    <w:rsid w:val="004B4BC8"/>
    <w:rsid w:val="004B544B"/>
    <w:rsid w:val="004C1793"/>
    <w:rsid w:val="004C180E"/>
    <w:rsid w:val="004C64C4"/>
    <w:rsid w:val="004C7374"/>
    <w:rsid w:val="004D36C0"/>
    <w:rsid w:val="004E4B9F"/>
    <w:rsid w:val="004F0546"/>
    <w:rsid w:val="004F1BBF"/>
    <w:rsid w:val="004F36D9"/>
    <w:rsid w:val="004F615C"/>
    <w:rsid w:val="005046DF"/>
    <w:rsid w:val="00507A2D"/>
    <w:rsid w:val="0051011E"/>
    <w:rsid w:val="00532D9D"/>
    <w:rsid w:val="00534303"/>
    <w:rsid w:val="00545B86"/>
    <w:rsid w:val="00551BEA"/>
    <w:rsid w:val="00557C3A"/>
    <w:rsid w:val="0056681D"/>
    <w:rsid w:val="00581EDF"/>
    <w:rsid w:val="00582707"/>
    <w:rsid w:val="0059648A"/>
    <w:rsid w:val="005B62A6"/>
    <w:rsid w:val="005C3343"/>
    <w:rsid w:val="005D17B0"/>
    <w:rsid w:val="005D7D3B"/>
    <w:rsid w:val="005E4646"/>
    <w:rsid w:val="005E521E"/>
    <w:rsid w:val="005F6506"/>
    <w:rsid w:val="005F7D77"/>
    <w:rsid w:val="006028F6"/>
    <w:rsid w:val="006050ED"/>
    <w:rsid w:val="006074C8"/>
    <w:rsid w:val="00625085"/>
    <w:rsid w:val="00625477"/>
    <w:rsid w:val="00626240"/>
    <w:rsid w:val="00647164"/>
    <w:rsid w:val="006568A6"/>
    <w:rsid w:val="0066177F"/>
    <w:rsid w:val="00664402"/>
    <w:rsid w:val="0066679E"/>
    <w:rsid w:val="00683F67"/>
    <w:rsid w:val="00693BDD"/>
    <w:rsid w:val="006959D6"/>
    <w:rsid w:val="006A1E9E"/>
    <w:rsid w:val="006A60F7"/>
    <w:rsid w:val="006B504C"/>
    <w:rsid w:val="006B7905"/>
    <w:rsid w:val="006C5BDC"/>
    <w:rsid w:val="006D260C"/>
    <w:rsid w:val="006E1A2D"/>
    <w:rsid w:val="006F6B06"/>
    <w:rsid w:val="0070527E"/>
    <w:rsid w:val="00722B08"/>
    <w:rsid w:val="00734EAE"/>
    <w:rsid w:val="00740857"/>
    <w:rsid w:val="00741903"/>
    <w:rsid w:val="00743037"/>
    <w:rsid w:val="00753E3E"/>
    <w:rsid w:val="0075473C"/>
    <w:rsid w:val="007577BE"/>
    <w:rsid w:val="00765BED"/>
    <w:rsid w:val="00772096"/>
    <w:rsid w:val="00791BF9"/>
    <w:rsid w:val="0079209C"/>
    <w:rsid w:val="007A6E08"/>
    <w:rsid w:val="007D00B8"/>
    <w:rsid w:val="007D5174"/>
    <w:rsid w:val="007E4018"/>
    <w:rsid w:val="007E58A9"/>
    <w:rsid w:val="007F2804"/>
    <w:rsid w:val="00801553"/>
    <w:rsid w:val="0080541E"/>
    <w:rsid w:val="008143DC"/>
    <w:rsid w:val="008171E8"/>
    <w:rsid w:val="00823DAD"/>
    <w:rsid w:val="00830CB4"/>
    <w:rsid w:val="00832927"/>
    <w:rsid w:val="00837D42"/>
    <w:rsid w:val="00845770"/>
    <w:rsid w:val="00847425"/>
    <w:rsid w:val="0086148D"/>
    <w:rsid w:val="00864497"/>
    <w:rsid w:val="00867860"/>
    <w:rsid w:val="00872FB5"/>
    <w:rsid w:val="00875C2B"/>
    <w:rsid w:val="00875C6E"/>
    <w:rsid w:val="008922E5"/>
    <w:rsid w:val="008A72AC"/>
    <w:rsid w:val="008B2820"/>
    <w:rsid w:val="008C687E"/>
    <w:rsid w:val="008E26D3"/>
    <w:rsid w:val="008F7F19"/>
    <w:rsid w:val="00905916"/>
    <w:rsid w:val="00910AAE"/>
    <w:rsid w:val="0091218C"/>
    <w:rsid w:val="00920761"/>
    <w:rsid w:val="009225DB"/>
    <w:rsid w:val="009228F1"/>
    <w:rsid w:val="00926DF3"/>
    <w:rsid w:val="0093096C"/>
    <w:rsid w:val="00940314"/>
    <w:rsid w:val="00945F8B"/>
    <w:rsid w:val="00952C4D"/>
    <w:rsid w:val="009639D2"/>
    <w:rsid w:val="00987D73"/>
    <w:rsid w:val="009926C2"/>
    <w:rsid w:val="009928D8"/>
    <w:rsid w:val="00992ED8"/>
    <w:rsid w:val="0099604F"/>
    <w:rsid w:val="00997F4D"/>
    <w:rsid w:val="009A0474"/>
    <w:rsid w:val="009A6FC1"/>
    <w:rsid w:val="009B1F24"/>
    <w:rsid w:val="009B67D1"/>
    <w:rsid w:val="009B7D2B"/>
    <w:rsid w:val="009B7DF9"/>
    <w:rsid w:val="009C2011"/>
    <w:rsid w:val="009D56C4"/>
    <w:rsid w:val="009F30FA"/>
    <w:rsid w:val="009F703F"/>
    <w:rsid w:val="00A113B7"/>
    <w:rsid w:val="00A23B85"/>
    <w:rsid w:val="00A25816"/>
    <w:rsid w:val="00A3125F"/>
    <w:rsid w:val="00A42EC9"/>
    <w:rsid w:val="00A4337A"/>
    <w:rsid w:val="00A4484F"/>
    <w:rsid w:val="00A50B3A"/>
    <w:rsid w:val="00A60182"/>
    <w:rsid w:val="00A602D9"/>
    <w:rsid w:val="00A6448D"/>
    <w:rsid w:val="00A64BBD"/>
    <w:rsid w:val="00A77E33"/>
    <w:rsid w:val="00A87F5C"/>
    <w:rsid w:val="00A90022"/>
    <w:rsid w:val="00A90992"/>
    <w:rsid w:val="00AA6EB1"/>
    <w:rsid w:val="00AA7931"/>
    <w:rsid w:val="00AB56C1"/>
    <w:rsid w:val="00AB70B2"/>
    <w:rsid w:val="00AC090A"/>
    <w:rsid w:val="00AC0C9F"/>
    <w:rsid w:val="00AC29FC"/>
    <w:rsid w:val="00AC582F"/>
    <w:rsid w:val="00AC7955"/>
    <w:rsid w:val="00AD1252"/>
    <w:rsid w:val="00AE0CDE"/>
    <w:rsid w:val="00AE5575"/>
    <w:rsid w:val="00AF7055"/>
    <w:rsid w:val="00B03C13"/>
    <w:rsid w:val="00B075C8"/>
    <w:rsid w:val="00B077B0"/>
    <w:rsid w:val="00B1054D"/>
    <w:rsid w:val="00B1360B"/>
    <w:rsid w:val="00B1462C"/>
    <w:rsid w:val="00B150FE"/>
    <w:rsid w:val="00B15310"/>
    <w:rsid w:val="00B1561B"/>
    <w:rsid w:val="00B2723B"/>
    <w:rsid w:val="00B31460"/>
    <w:rsid w:val="00B52EB5"/>
    <w:rsid w:val="00B5414A"/>
    <w:rsid w:val="00B67825"/>
    <w:rsid w:val="00B85B5A"/>
    <w:rsid w:val="00B86BAB"/>
    <w:rsid w:val="00B916AB"/>
    <w:rsid w:val="00B97B5D"/>
    <w:rsid w:val="00BA41E4"/>
    <w:rsid w:val="00BA5B95"/>
    <w:rsid w:val="00BB00B1"/>
    <w:rsid w:val="00BB3979"/>
    <w:rsid w:val="00BC4269"/>
    <w:rsid w:val="00BC4329"/>
    <w:rsid w:val="00BC4A9B"/>
    <w:rsid w:val="00BC4CEE"/>
    <w:rsid w:val="00BD2794"/>
    <w:rsid w:val="00BD4492"/>
    <w:rsid w:val="00BE29BE"/>
    <w:rsid w:val="00BE62B4"/>
    <w:rsid w:val="00BF1127"/>
    <w:rsid w:val="00C0225C"/>
    <w:rsid w:val="00C0288C"/>
    <w:rsid w:val="00C04453"/>
    <w:rsid w:val="00C12020"/>
    <w:rsid w:val="00C126E5"/>
    <w:rsid w:val="00C26F14"/>
    <w:rsid w:val="00C34B48"/>
    <w:rsid w:val="00C47902"/>
    <w:rsid w:val="00C621C4"/>
    <w:rsid w:val="00C7386A"/>
    <w:rsid w:val="00C77EAE"/>
    <w:rsid w:val="00C90DC7"/>
    <w:rsid w:val="00C972BB"/>
    <w:rsid w:val="00CA1BF7"/>
    <w:rsid w:val="00CA526E"/>
    <w:rsid w:val="00CA6F6F"/>
    <w:rsid w:val="00CB42FF"/>
    <w:rsid w:val="00CB7FC5"/>
    <w:rsid w:val="00CC054B"/>
    <w:rsid w:val="00CD6094"/>
    <w:rsid w:val="00CF6595"/>
    <w:rsid w:val="00D236FA"/>
    <w:rsid w:val="00D25946"/>
    <w:rsid w:val="00D34FBD"/>
    <w:rsid w:val="00D37C01"/>
    <w:rsid w:val="00D44AFE"/>
    <w:rsid w:val="00D46878"/>
    <w:rsid w:val="00D477A8"/>
    <w:rsid w:val="00D501D6"/>
    <w:rsid w:val="00D5347D"/>
    <w:rsid w:val="00D56B22"/>
    <w:rsid w:val="00D64DC9"/>
    <w:rsid w:val="00D75B98"/>
    <w:rsid w:val="00D80393"/>
    <w:rsid w:val="00D82EF3"/>
    <w:rsid w:val="00D848DF"/>
    <w:rsid w:val="00D93059"/>
    <w:rsid w:val="00D965FA"/>
    <w:rsid w:val="00DA151B"/>
    <w:rsid w:val="00DA2A75"/>
    <w:rsid w:val="00DB4F7A"/>
    <w:rsid w:val="00DB7112"/>
    <w:rsid w:val="00DC68D0"/>
    <w:rsid w:val="00DD6999"/>
    <w:rsid w:val="00DE49CD"/>
    <w:rsid w:val="00DE5135"/>
    <w:rsid w:val="00DE7787"/>
    <w:rsid w:val="00DF019F"/>
    <w:rsid w:val="00DF05FD"/>
    <w:rsid w:val="00E04C39"/>
    <w:rsid w:val="00E04F2C"/>
    <w:rsid w:val="00E0774D"/>
    <w:rsid w:val="00E16E33"/>
    <w:rsid w:val="00E1746F"/>
    <w:rsid w:val="00E223F5"/>
    <w:rsid w:val="00E30F6B"/>
    <w:rsid w:val="00E33E59"/>
    <w:rsid w:val="00E37291"/>
    <w:rsid w:val="00E45BAF"/>
    <w:rsid w:val="00E57C78"/>
    <w:rsid w:val="00E611B1"/>
    <w:rsid w:val="00E630B4"/>
    <w:rsid w:val="00E7550E"/>
    <w:rsid w:val="00E76DDF"/>
    <w:rsid w:val="00EA35B1"/>
    <w:rsid w:val="00EC38D0"/>
    <w:rsid w:val="00ED4AB4"/>
    <w:rsid w:val="00ED54A0"/>
    <w:rsid w:val="00EE0333"/>
    <w:rsid w:val="00EE3FD8"/>
    <w:rsid w:val="00EE730C"/>
    <w:rsid w:val="00EF6630"/>
    <w:rsid w:val="00F03540"/>
    <w:rsid w:val="00F04435"/>
    <w:rsid w:val="00F071FA"/>
    <w:rsid w:val="00F10182"/>
    <w:rsid w:val="00F104C5"/>
    <w:rsid w:val="00F12FF7"/>
    <w:rsid w:val="00F15919"/>
    <w:rsid w:val="00F20342"/>
    <w:rsid w:val="00F20F4F"/>
    <w:rsid w:val="00F26B11"/>
    <w:rsid w:val="00F278D1"/>
    <w:rsid w:val="00F334A1"/>
    <w:rsid w:val="00F3674C"/>
    <w:rsid w:val="00F47122"/>
    <w:rsid w:val="00F50654"/>
    <w:rsid w:val="00F52DAA"/>
    <w:rsid w:val="00F55080"/>
    <w:rsid w:val="00F636BA"/>
    <w:rsid w:val="00F64FF7"/>
    <w:rsid w:val="00F6699E"/>
    <w:rsid w:val="00F70BC3"/>
    <w:rsid w:val="00F752F1"/>
    <w:rsid w:val="00F7599F"/>
    <w:rsid w:val="00F763B7"/>
    <w:rsid w:val="00F773FD"/>
    <w:rsid w:val="00F8171F"/>
    <w:rsid w:val="00F81E47"/>
    <w:rsid w:val="00F910DF"/>
    <w:rsid w:val="00F91775"/>
    <w:rsid w:val="00F9317F"/>
    <w:rsid w:val="00F942E8"/>
    <w:rsid w:val="00F96D47"/>
    <w:rsid w:val="00FB5C5C"/>
    <w:rsid w:val="00FC1D70"/>
    <w:rsid w:val="00FC1F18"/>
    <w:rsid w:val="00FD405D"/>
    <w:rsid w:val="00FD684A"/>
    <w:rsid w:val="00FE2974"/>
    <w:rsid w:val="00FE2C27"/>
    <w:rsid w:val="00FF25CC"/>
    <w:rsid w:val="00FF4D88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1E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93BBD"/>
    <w:pPr>
      <w:keepNext/>
      <w:keepLines/>
      <w:numPr>
        <w:numId w:val="1"/>
      </w:numPr>
      <w:spacing w:before="480" w:after="24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3BBD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75C2B"/>
    <w:pPr>
      <w:keepNext/>
      <w:keepLines/>
      <w:numPr>
        <w:ilvl w:val="2"/>
        <w:numId w:val="1"/>
      </w:numPr>
      <w:spacing w:after="240" w:line="240" w:lineRule="auto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93BBD"/>
    <w:pPr>
      <w:keepNext/>
      <w:keepLines/>
      <w:numPr>
        <w:ilvl w:val="3"/>
        <w:numId w:val="1"/>
      </w:numPr>
      <w:spacing w:before="120" w:after="120" w:line="360" w:lineRule="auto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541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541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541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541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541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qFormat/>
    <w:rsid w:val="00693BDD"/>
    <w:pPr>
      <w:tabs>
        <w:tab w:val="left" w:pos="440"/>
        <w:tab w:val="right" w:leader="dot" w:pos="9072"/>
      </w:tabs>
      <w:spacing w:after="0" w:line="240" w:lineRule="auto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93BBD"/>
    <w:pPr>
      <w:tabs>
        <w:tab w:val="left" w:pos="660"/>
        <w:tab w:val="right" w:leader="dot" w:pos="9062"/>
      </w:tabs>
      <w:spacing w:after="0" w:line="240" w:lineRule="auto"/>
      <w:ind w:left="221"/>
    </w:pPr>
  </w:style>
  <w:style w:type="character" w:styleId="Lienhypertexte">
    <w:name w:val="Hyperlink"/>
    <w:basedOn w:val="Policepardfaut"/>
    <w:uiPriority w:val="99"/>
    <w:unhideWhenUsed/>
    <w:rsid w:val="0080541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93BBD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93BB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75C2B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393BB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054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054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054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054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05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541E"/>
    <w:pPr>
      <w:numPr>
        <w:numId w:val="0"/>
      </w:numPr>
      <w:spacing w:line="276" w:lineRule="auto"/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41E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DF05FD"/>
    <w:pPr>
      <w:tabs>
        <w:tab w:val="left" w:pos="880"/>
        <w:tab w:val="right" w:leader="dot" w:pos="9062"/>
      </w:tabs>
      <w:spacing w:after="0" w:line="240" w:lineRule="auto"/>
      <w:ind w:left="442"/>
    </w:pPr>
  </w:style>
  <w:style w:type="paragraph" w:styleId="Paragraphedeliste">
    <w:name w:val="List Paragraph"/>
    <w:basedOn w:val="Normal"/>
    <w:link w:val="ParagraphedelisteCar"/>
    <w:uiPriority w:val="34"/>
    <w:qFormat/>
    <w:rsid w:val="00F334A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C7955"/>
  </w:style>
  <w:style w:type="table" w:styleId="Grilledutableau">
    <w:name w:val="Table Grid"/>
    <w:basedOn w:val="TableauNormal"/>
    <w:uiPriority w:val="59"/>
    <w:rsid w:val="00DB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Policepardfaut"/>
    <w:rsid w:val="00DB4F7A"/>
  </w:style>
  <w:style w:type="paragraph" w:styleId="NormalWeb">
    <w:name w:val="Normal (Web)"/>
    <w:basedOn w:val="Normal"/>
    <w:uiPriority w:val="99"/>
    <w:semiHidden/>
    <w:unhideWhenUsed/>
    <w:rsid w:val="0005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562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62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62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62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621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9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04F"/>
  </w:style>
  <w:style w:type="paragraph" w:styleId="Pieddepage">
    <w:name w:val="footer"/>
    <w:basedOn w:val="Normal"/>
    <w:link w:val="PieddepageCar"/>
    <w:uiPriority w:val="99"/>
    <w:unhideWhenUsed/>
    <w:rsid w:val="0099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04F"/>
  </w:style>
  <w:style w:type="paragraph" w:styleId="Sansinterligne">
    <w:name w:val="No Spacing"/>
    <w:uiPriority w:val="1"/>
    <w:qFormat/>
    <w:rsid w:val="00110B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1E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93BBD"/>
    <w:pPr>
      <w:keepNext/>
      <w:keepLines/>
      <w:numPr>
        <w:numId w:val="1"/>
      </w:numPr>
      <w:spacing w:before="480" w:after="24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3BBD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75C2B"/>
    <w:pPr>
      <w:keepNext/>
      <w:keepLines/>
      <w:numPr>
        <w:ilvl w:val="2"/>
        <w:numId w:val="1"/>
      </w:numPr>
      <w:spacing w:after="240" w:line="240" w:lineRule="auto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93BBD"/>
    <w:pPr>
      <w:keepNext/>
      <w:keepLines/>
      <w:numPr>
        <w:ilvl w:val="3"/>
        <w:numId w:val="1"/>
      </w:numPr>
      <w:spacing w:before="120" w:after="120" w:line="360" w:lineRule="auto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541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541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541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541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541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qFormat/>
    <w:rsid w:val="00693BDD"/>
    <w:pPr>
      <w:tabs>
        <w:tab w:val="left" w:pos="440"/>
        <w:tab w:val="right" w:leader="dot" w:pos="9072"/>
      </w:tabs>
      <w:spacing w:after="0" w:line="240" w:lineRule="auto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93BBD"/>
    <w:pPr>
      <w:tabs>
        <w:tab w:val="left" w:pos="660"/>
        <w:tab w:val="right" w:leader="dot" w:pos="9062"/>
      </w:tabs>
      <w:spacing w:after="0" w:line="240" w:lineRule="auto"/>
      <w:ind w:left="221"/>
    </w:pPr>
  </w:style>
  <w:style w:type="character" w:styleId="Lienhypertexte">
    <w:name w:val="Hyperlink"/>
    <w:basedOn w:val="Policepardfaut"/>
    <w:uiPriority w:val="99"/>
    <w:unhideWhenUsed/>
    <w:rsid w:val="0080541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93BBD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93BB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75C2B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393BB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054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054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054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054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05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541E"/>
    <w:pPr>
      <w:numPr>
        <w:numId w:val="0"/>
      </w:numPr>
      <w:spacing w:line="276" w:lineRule="auto"/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41E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DF05FD"/>
    <w:pPr>
      <w:tabs>
        <w:tab w:val="left" w:pos="880"/>
        <w:tab w:val="right" w:leader="dot" w:pos="9062"/>
      </w:tabs>
      <w:spacing w:after="0" w:line="240" w:lineRule="auto"/>
      <w:ind w:left="442"/>
    </w:pPr>
  </w:style>
  <w:style w:type="paragraph" w:styleId="Paragraphedeliste">
    <w:name w:val="List Paragraph"/>
    <w:basedOn w:val="Normal"/>
    <w:link w:val="ParagraphedelisteCar"/>
    <w:uiPriority w:val="34"/>
    <w:qFormat/>
    <w:rsid w:val="00F334A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C7955"/>
  </w:style>
  <w:style w:type="table" w:styleId="Grilledutableau">
    <w:name w:val="Table Grid"/>
    <w:basedOn w:val="TableauNormal"/>
    <w:uiPriority w:val="59"/>
    <w:rsid w:val="00DB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Policepardfaut"/>
    <w:rsid w:val="00DB4F7A"/>
  </w:style>
  <w:style w:type="paragraph" w:styleId="NormalWeb">
    <w:name w:val="Normal (Web)"/>
    <w:basedOn w:val="Normal"/>
    <w:uiPriority w:val="99"/>
    <w:semiHidden/>
    <w:unhideWhenUsed/>
    <w:rsid w:val="0005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562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62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62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62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621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9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04F"/>
  </w:style>
  <w:style w:type="paragraph" w:styleId="Pieddepage">
    <w:name w:val="footer"/>
    <w:basedOn w:val="Normal"/>
    <w:link w:val="PieddepageCar"/>
    <w:uiPriority w:val="99"/>
    <w:unhideWhenUsed/>
    <w:rsid w:val="0099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04F"/>
  </w:style>
  <w:style w:type="paragraph" w:styleId="Sansinterligne">
    <w:name w:val="No Spacing"/>
    <w:uiPriority w:val="1"/>
    <w:qFormat/>
    <w:rsid w:val="00110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hart" Target="charts/chart5.xml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chart" Target="charts/chart9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C1\Services\Comptablilit&#233;%20-%20Finances\CARO\BUDGETS\2020\7%20-%20CA%202020\RAPPORT\Rapport%20CA%202020%20CARO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C1\Services\Comptablilit&#233;%20-%20Finances\CARO\BUDGETS\2020\7%20-%20CA%202020\MAQUETTES%20ET%20ANNEXES\Graphiques%20dette%20CA%2020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C1\Services\Comptablilit&#233;%20-%20Finances\CARO\BUDGETS\2020\7%20-%20CA%202020\RAPPORT\Rapport%20CA%202020%20CAR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C1\Services\Comptablilit&#233;%20-%20Finances\CARO\BUDGETS\2020\7%20-%20CA%202020\RAPPORT\Rapport%20CA%202020%20CAR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C1\Services\Comptablilit&#233;%20-%20Finances\CARO\BUDGETS\2020\7%20-%20CA%202020\RAPPORT\Rapport%20CA%202020%20CAR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C1\Services\Comptablilit&#233;%20-%20Finances\CARO\BUDGETS\2020\7%20-%20CA%202020\RAPPORT\Rapport%20CA%202020%20CAR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C1\Services\Comptablilit&#233;%20-%20Finances\CARO\BUDGETS\2020\7%20-%20CA%202020\RAPPORT\Rapport%20CA%202020%20CARO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C1\Services\Comptablilit&#233;%20-%20Finances\CARO\BUDGETS\2020\7%20-%20CA%202020\RAPPORT\Rapport%20CA%202020%20CARO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C1\Services\Comptablilit&#233;%20-%20Finances\CARO\BUDGETS\2020\7%20-%20CA%202020\RAPPORT\Rapport%20CA%202020%20CARO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C1\Services\Comptablilit&#233;%20-%20Finances\CARO\BUDGETS\2020\7%20-%20CA%202020\RAPPORT\Rapport%20CA%202020%20CAR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782510140777856"/>
          <c:y val="0.20246313133510244"/>
          <c:w val="0.54434979718444287"/>
          <c:h val="0.7939687649541045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5252525252525252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5.5555555555555559E-2"/>
                  <c:y val="7.366482504604051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212121212121212"/>
                  <c:y val="-5.15653775322283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3.0303030303030349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0.12878787878787878"/>
                  <c:y val="-3.314917127071823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050"/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'Rct Fct - Pcpal'!$G$7:$G$11</c:f>
              <c:strCache>
                <c:ptCount val="5"/>
                <c:pt idx="0">
                  <c:v>Remboursement de charges</c:v>
                </c:pt>
                <c:pt idx="1">
                  <c:v>Pont transbordeur</c:v>
                </c:pt>
                <c:pt idx="2">
                  <c:v>Activités culturelles</c:v>
                </c:pt>
                <c:pt idx="3">
                  <c:v>Sports et tourisme</c:v>
                </c:pt>
                <c:pt idx="4">
                  <c:v>Divers</c:v>
                </c:pt>
              </c:strCache>
            </c:strRef>
          </c:cat>
          <c:val>
            <c:numRef>
              <c:f>'Rct Fct - Pcpal'!$H$7:$H$11</c:f>
              <c:numCache>
                <c:formatCode>#,##0,\K"€"</c:formatCode>
                <c:ptCount val="5"/>
                <c:pt idx="0">
                  <c:v>823101.53</c:v>
                </c:pt>
                <c:pt idx="1">
                  <c:v>394086.3</c:v>
                </c:pt>
                <c:pt idx="2">
                  <c:v>104712.41</c:v>
                </c:pt>
                <c:pt idx="3">
                  <c:v>45659</c:v>
                </c:pt>
                <c:pt idx="4">
                  <c:v>30610.459999999963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/>
      </a:pPr>
      <a:endParaRPr lang="fr-F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292372474427401"/>
          <c:y val="0.22559681041873775"/>
          <c:w val="0.54469163347991711"/>
          <c:h val="0.7480267455255875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9985179156419591"/>
                  <c:y val="5.181821337616804E-4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Photovoltaïque
138K€
0,3%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9.8858106427014009E-2"/>
                  <c:y val="-8.4982921869789646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Tourisme
213K€
0,5%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1.7994019756741616E-5"/>
                  <c:y val="-0.10101458925703034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Déchets ménagers
721K€
1,7%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6.5838561115130853E-2"/>
                  <c:y val="-4.3611033092756282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Transports
1 387K€
3,3%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4.1670689368198906E-2"/>
                  <c:y val="1.8529797576557046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Eaux
2 812K€
6,7%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1.9758817848268197E-2"/>
                  <c:y val="1.6288128621936376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Assainissement
4 222K€
10,1%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2.4139323542510353E-2"/>
                  <c:y val="5.3438190002219575E-3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Principal
15 169K€
36,1%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-1.0965624847526636E-2"/>
                  <c:y val="6.033697010065584E-3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Activités économiques
17 308K€
41,2%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'Répartition CRD'!$A$8:$A$15</c:f>
              <c:strCache>
                <c:ptCount val="8"/>
                <c:pt idx="0">
                  <c:v>Photovoltaïque</c:v>
                </c:pt>
                <c:pt idx="1">
                  <c:v>Tourisme</c:v>
                </c:pt>
                <c:pt idx="2">
                  <c:v>Déchets ménagers</c:v>
                </c:pt>
                <c:pt idx="3">
                  <c:v>Transports</c:v>
                </c:pt>
                <c:pt idx="4">
                  <c:v>Eaux</c:v>
                </c:pt>
                <c:pt idx="5">
                  <c:v>Assainissement</c:v>
                </c:pt>
                <c:pt idx="6">
                  <c:v>Principal</c:v>
                </c:pt>
                <c:pt idx="7">
                  <c:v>Activités économiques</c:v>
                </c:pt>
              </c:strCache>
            </c:strRef>
          </c:cat>
          <c:val>
            <c:numRef>
              <c:f>'Répartition CRD'!$B$8:$B$15</c:f>
              <c:numCache>
                <c:formatCode>#,##0,\K"€"</c:formatCode>
                <c:ptCount val="8"/>
                <c:pt idx="0">
                  <c:v>137967</c:v>
                </c:pt>
                <c:pt idx="1">
                  <c:v>213144</c:v>
                </c:pt>
                <c:pt idx="2">
                  <c:v>720756</c:v>
                </c:pt>
                <c:pt idx="3">
                  <c:v>1386600</c:v>
                </c:pt>
                <c:pt idx="4">
                  <c:v>2812219</c:v>
                </c:pt>
                <c:pt idx="5">
                  <c:v>4221887</c:v>
                </c:pt>
                <c:pt idx="6">
                  <c:v>15169301</c:v>
                </c:pt>
                <c:pt idx="7">
                  <c:v>17308404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'Rct Fct - Pcpal'!$G$106</c:f>
              <c:strCache>
                <c:ptCount val="1"/>
                <c:pt idx="0">
                  <c:v>CVAE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2.7777777777777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,\K&quot;€&quot;" sourceLinked="0"/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'Rct Fct - Pcpal'!$H$105:$L$105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'Rct Fct - Pcpal'!$H$106:$L$106</c:f>
              <c:numCache>
                <c:formatCode>#,##0\ "€"</c:formatCode>
                <c:ptCount val="5"/>
                <c:pt idx="0">
                  <c:v>3532997</c:v>
                </c:pt>
                <c:pt idx="1">
                  <c:v>3105293</c:v>
                </c:pt>
                <c:pt idx="2">
                  <c:v>2811422</c:v>
                </c:pt>
                <c:pt idx="3">
                  <c:v>3140902</c:v>
                </c:pt>
                <c:pt idx="4">
                  <c:v>3292834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366912"/>
        <c:axId val="155368448"/>
      </c:barChart>
      <c:catAx>
        <c:axId val="15536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fr-FR"/>
          </a:p>
        </c:txPr>
        <c:crossAx val="155368448"/>
        <c:crosses val="autoZero"/>
        <c:auto val="1"/>
        <c:lblAlgn val="ctr"/>
        <c:lblOffset val="100"/>
        <c:noMultiLvlLbl val="0"/>
      </c:catAx>
      <c:valAx>
        <c:axId val="155368448"/>
        <c:scaling>
          <c:orientation val="minMax"/>
        </c:scaling>
        <c:delete val="0"/>
        <c:axPos val="l"/>
        <c:majorGridlines/>
        <c:numFmt formatCode="#,##0,\K&quot;€&quot;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fr-FR"/>
          </a:p>
        </c:txPr>
        <c:crossAx val="155366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/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33859195162442"/>
          <c:y val="4.1213581811508387E-2"/>
          <c:w val="0.8497485694146889"/>
          <c:h val="0.677724914992486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'Tableau Divers'!$A$3</c:f>
              <c:strCache>
                <c:ptCount val="1"/>
                <c:pt idx="0">
                  <c:v>DGF : Dotation d'intercommunalité</c:v>
                </c:pt>
              </c:strCache>
            </c:strRef>
          </c:tx>
          <c:invertIfNegative val="0"/>
          <c:cat>
            <c:numRef>
              <c:f>'Tableau Divers'!$B$2:$H$2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'Tableau Divers'!$B$3:$H$3</c:f>
              <c:numCache>
                <c:formatCode>#,##0,\K"€"</c:formatCode>
                <c:ptCount val="7"/>
                <c:pt idx="0">
                  <c:v>3334284</c:v>
                </c:pt>
                <c:pt idx="1">
                  <c:v>2970628</c:v>
                </c:pt>
                <c:pt idx="2">
                  <c:v>2473531</c:v>
                </c:pt>
                <c:pt idx="3">
                  <c:v>2287491</c:v>
                </c:pt>
                <c:pt idx="4">
                  <c:v>2127299</c:v>
                </c:pt>
                <c:pt idx="5">
                  <c:v>2134997</c:v>
                </c:pt>
                <c:pt idx="6">
                  <c:v>2136001</c:v>
                </c:pt>
              </c:numCache>
            </c:numRef>
          </c:val>
        </c:ser>
        <c:ser>
          <c:idx val="1"/>
          <c:order val="1"/>
          <c:tx>
            <c:strRef>
              <c:f>'Tableau Divers'!$A$4</c:f>
              <c:strCache>
                <c:ptCount val="1"/>
                <c:pt idx="0">
                  <c:v>DGF : Dotation de compensation</c:v>
                </c:pt>
              </c:strCache>
            </c:strRef>
          </c:tx>
          <c:invertIfNegative val="0"/>
          <c:cat>
            <c:numRef>
              <c:f>'Tableau Divers'!$B$2:$H$2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'Tableau Divers'!$B$4:$H$4</c:f>
              <c:numCache>
                <c:formatCode>#,##0,\K"€"</c:formatCode>
                <c:ptCount val="7"/>
                <c:pt idx="0">
                  <c:v>2980900</c:v>
                </c:pt>
                <c:pt idx="1">
                  <c:v>2915843</c:v>
                </c:pt>
                <c:pt idx="2">
                  <c:v>2859419</c:v>
                </c:pt>
                <c:pt idx="3">
                  <c:v>2779963</c:v>
                </c:pt>
                <c:pt idx="4">
                  <c:v>2721913</c:v>
                </c:pt>
                <c:pt idx="5">
                  <c:v>2659415</c:v>
                </c:pt>
                <c:pt idx="6">
                  <c:v>2610793</c:v>
                </c:pt>
              </c:numCache>
            </c:numRef>
          </c:val>
        </c:ser>
        <c:ser>
          <c:idx val="2"/>
          <c:order val="2"/>
          <c:tx>
            <c:strRef>
              <c:f>'Tableau Divers'!$A$5</c:f>
              <c:strCache>
                <c:ptCount val="1"/>
                <c:pt idx="0">
                  <c:v>Dotation Générale de Décentralisation</c:v>
                </c:pt>
              </c:strCache>
            </c:strRef>
          </c:tx>
          <c:invertIfNegative val="0"/>
          <c:cat>
            <c:numRef>
              <c:f>'Tableau Divers'!$B$2:$H$2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'Tableau Divers'!$B$5:$H$5</c:f>
              <c:numCache>
                <c:formatCode>#,##0,\K"€"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51107.45</c:v>
                </c:pt>
                <c:pt idx="4">
                  <c:v>0</c:v>
                </c:pt>
                <c:pt idx="5">
                  <c:v>0</c:v>
                </c:pt>
                <c:pt idx="6">
                  <c:v>50000</c:v>
                </c:pt>
              </c:numCache>
            </c:numRef>
          </c:val>
        </c:ser>
        <c:ser>
          <c:idx val="3"/>
          <c:order val="3"/>
          <c:tx>
            <c:strRef>
              <c:f>'Tableau Divers'!$A$6</c:f>
              <c:strCache>
                <c:ptCount val="1"/>
                <c:pt idx="0">
                  <c:v>Compensations fiscales</c:v>
                </c:pt>
              </c:strCache>
            </c:strRef>
          </c:tx>
          <c:invertIfNegative val="0"/>
          <c:cat>
            <c:numRef>
              <c:f>'Tableau Divers'!$B$2:$H$2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'Tableau Divers'!$B$6:$H$6</c:f>
              <c:numCache>
                <c:formatCode>#,##0,\K"€"</c:formatCode>
                <c:ptCount val="7"/>
                <c:pt idx="0">
                  <c:v>621862</c:v>
                </c:pt>
                <c:pt idx="1">
                  <c:v>644966</c:v>
                </c:pt>
                <c:pt idx="2">
                  <c:v>512506</c:v>
                </c:pt>
                <c:pt idx="3">
                  <c:v>689167</c:v>
                </c:pt>
                <c:pt idx="4">
                  <c:v>719473</c:v>
                </c:pt>
                <c:pt idx="5">
                  <c:v>877604</c:v>
                </c:pt>
                <c:pt idx="6">
                  <c:v>943922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58164480"/>
        <c:axId val="158166016"/>
      </c:barChart>
      <c:lineChart>
        <c:grouping val="standard"/>
        <c:varyColors val="0"/>
        <c:ser>
          <c:idx val="4"/>
          <c:order val="4"/>
          <c:tx>
            <c:strRef>
              <c:f>'Tableau Divers'!$A$7</c:f>
              <c:strCache>
                <c:ptCount val="1"/>
                <c:pt idx="0">
                  <c:v>Montant total des dotations de l'Etat</c:v>
                </c:pt>
              </c:strCache>
            </c:strRef>
          </c:tx>
          <c:marker>
            <c:symbol val="none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'Tableau Divers'!$B$7:$H$7</c:f>
              <c:numCache>
                <c:formatCode>#,##0,\K"€"</c:formatCode>
                <c:ptCount val="7"/>
                <c:pt idx="0">
                  <c:v>6937046</c:v>
                </c:pt>
                <c:pt idx="1">
                  <c:v>6531437</c:v>
                </c:pt>
                <c:pt idx="2">
                  <c:v>5845456</c:v>
                </c:pt>
                <c:pt idx="3">
                  <c:v>5807728.4500000002</c:v>
                </c:pt>
                <c:pt idx="4">
                  <c:v>5568685</c:v>
                </c:pt>
                <c:pt idx="5">
                  <c:v>5672016</c:v>
                </c:pt>
                <c:pt idx="6">
                  <c:v>5740716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177536"/>
        <c:axId val="158176000"/>
      </c:lineChart>
      <c:catAx>
        <c:axId val="15816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8166016"/>
        <c:crosses val="autoZero"/>
        <c:auto val="1"/>
        <c:lblAlgn val="ctr"/>
        <c:lblOffset val="100"/>
        <c:noMultiLvlLbl val="0"/>
      </c:catAx>
      <c:valAx>
        <c:axId val="158166016"/>
        <c:scaling>
          <c:orientation val="minMax"/>
          <c:max val="7000000"/>
        </c:scaling>
        <c:delete val="0"/>
        <c:axPos val="l"/>
        <c:majorGridlines/>
        <c:numFmt formatCode="#,##0,\K&quot;€&quot;" sourceLinked="1"/>
        <c:majorTickMark val="none"/>
        <c:minorTickMark val="none"/>
        <c:tickLblPos val="nextTo"/>
        <c:spPr>
          <a:ln w="9525">
            <a:noFill/>
          </a:ln>
        </c:spPr>
        <c:crossAx val="158164480"/>
        <c:crosses val="autoZero"/>
        <c:crossBetween val="between"/>
      </c:valAx>
      <c:valAx>
        <c:axId val="158176000"/>
        <c:scaling>
          <c:orientation val="minMax"/>
        </c:scaling>
        <c:delete val="1"/>
        <c:axPos val="r"/>
        <c:numFmt formatCode="#,##0,\K&quot;€&quot;" sourceLinked="1"/>
        <c:majorTickMark val="out"/>
        <c:minorTickMark val="none"/>
        <c:tickLblPos val="nextTo"/>
        <c:crossAx val="158177536"/>
        <c:crosses val="max"/>
        <c:crossBetween val="between"/>
      </c:valAx>
      <c:catAx>
        <c:axId val="158177536"/>
        <c:scaling>
          <c:orientation val="minMax"/>
        </c:scaling>
        <c:delete val="1"/>
        <c:axPos val="b"/>
        <c:majorTickMark val="out"/>
        <c:minorTickMark val="none"/>
        <c:tickLblPos val="nextTo"/>
        <c:crossAx val="15817600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4.1122951503853536E-4"/>
          <c:y val="0.80306650323063178"/>
          <c:w val="0.99682164287767916"/>
          <c:h val="0.1758253173498431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/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87300288762606"/>
          <c:y val="0.14912881652505303"/>
          <c:w val="0.49056919833072815"/>
          <c:h val="0.7469401070628882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1.978367402683608E-2"/>
                  <c:y val="-3.732661948313157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2.4542557090133743E-3"/>
                  <c:y val="7.15414026033167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3.4667798750642201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7.3859517288796554E-3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050"/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'Rct Fct - Pcpal'!$G$89:$G$92</c:f>
              <c:strCache>
                <c:ptCount val="4"/>
                <c:pt idx="0">
                  <c:v>Bâtiment CPAM</c:v>
                </c:pt>
                <c:pt idx="1">
                  <c:v>Maison de l'emploi</c:v>
                </c:pt>
                <c:pt idx="2">
                  <c:v>Logements sociaux</c:v>
                </c:pt>
                <c:pt idx="3">
                  <c:v>Divers</c:v>
                </c:pt>
              </c:strCache>
            </c:strRef>
          </c:cat>
          <c:val>
            <c:numRef>
              <c:f>'Rct Fct - Pcpal'!$H$89:$H$92</c:f>
              <c:numCache>
                <c:formatCode>#,##0,\K"€"</c:formatCode>
                <c:ptCount val="4"/>
                <c:pt idx="0">
                  <c:v>317860.12</c:v>
                </c:pt>
                <c:pt idx="1">
                  <c:v>84818.390000000014</c:v>
                </c:pt>
                <c:pt idx="2">
                  <c:v>55074.53</c:v>
                </c:pt>
                <c:pt idx="3">
                  <c:v>9233.11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/>
      </a:pPr>
      <a:endParaRPr lang="fr-F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5877721167207"/>
          <c:y val="0.12848873540778938"/>
          <c:w val="0.53874589205761048"/>
          <c:h val="0.7507114889327358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3443541958312174E-2"/>
                  <c:y val="1.256940306533949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1.3445482830864955E-2"/>
                  <c:y val="-6.334171867820186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3.2686763990250507E-2"/>
                  <c:y val="-4.9224214080044973E-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1.1100732344147051E-2"/>
                  <c:y val="-1.75661530366048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1.3965636675010065E-2"/>
                  <c:y val="2.54885441717176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1.5060641680696823E-2"/>
                  <c:y val="-7.69915932425983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2.689343586316072E-2"/>
                  <c:y val="1.69877685211643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1.5684896870854694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6.7226890756302518E-2"/>
                  <c:y val="-2.49804839968774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'Dps Fct - Pcpal'!$M$7:$M$15</c:f>
              <c:strCache>
                <c:ptCount val="9"/>
                <c:pt idx="0">
                  <c:v>Administration générale</c:v>
                </c:pt>
                <c:pt idx="1">
                  <c:v>GEMAPI &amp; Pluvial</c:v>
                </c:pt>
                <c:pt idx="2">
                  <c:v>Culture</c:v>
                </c:pt>
                <c:pt idx="3">
                  <c:v>Habitat</c:v>
                </c:pt>
                <c:pt idx="4">
                  <c:v>Sports &amp; nautisme</c:v>
                </c:pt>
                <c:pt idx="5">
                  <c:v>Tourisme</c:v>
                </c:pt>
                <c:pt idx="6">
                  <c:v>Santé</c:v>
                </c:pt>
                <c:pt idx="7">
                  <c:v>Actions économiques</c:v>
                </c:pt>
                <c:pt idx="8">
                  <c:v>Environnement</c:v>
                </c:pt>
              </c:strCache>
            </c:strRef>
          </c:cat>
          <c:val>
            <c:numRef>
              <c:f>'Dps Fct - Pcpal'!$N$7:$N$15</c:f>
              <c:numCache>
                <c:formatCode>#,##0,\K"€"</c:formatCode>
                <c:ptCount val="9"/>
                <c:pt idx="0">
                  <c:v>1138088.5199999991</c:v>
                </c:pt>
                <c:pt idx="1">
                  <c:v>756628.57000000007</c:v>
                </c:pt>
                <c:pt idx="2">
                  <c:v>478521.4200000001</c:v>
                </c:pt>
                <c:pt idx="3">
                  <c:v>363810.18999999994</c:v>
                </c:pt>
                <c:pt idx="4">
                  <c:v>343395.17000000004</c:v>
                </c:pt>
                <c:pt idx="5">
                  <c:v>334243.79000000004</c:v>
                </c:pt>
                <c:pt idx="6">
                  <c:v>332358.4200000001</c:v>
                </c:pt>
                <c:pt idx="7">
                  <c:v>249034.93</c:v>
                </c:pt>
                <c:pt idx="8">
                  <c:v>61861.18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/>
      </a:pPr>
      <a:endParaRPr lang="fr-F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822282648384179"/>
          <c:y val="0.18694439195100612"/>
          <c:w val="0.43439926801293866"/>
          <c:h val="0.7077812073490813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050161175923047E-2"/>
                  <c:y val="7.46779356520921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2.8440981447165725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1.2564680748021152E-2"/>
                  <c:y val="3.5513320505268149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3.2784917299663568E-2"/>
                  <c:y val="5.33425026376683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2.8443214038534548E-2"/>
                  <c:y val="2.48990853842931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2.1626940851785527E-3"/>
                  <c:y val="-3.3883678264940625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GEMAPI </a:t>
                    </a:r>
                  </a:p>
                  <a:p>
                    <a:r>
                      <a:rPr lang="en-US" sz="1050"/>
                      <a:t>&amp; Pluvial
588K€
5%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2.4004307183963812E-2"/>
                  <c:y val="-3.91142138404227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6.990638572652817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Sports &amp; </a:t>
                    </a:r>
                  </a:p>
                  <a:p>
                    <a:r>
                      <a:rPr lang="en-US" sz="1050"/>
                      <a:t>nautisme
125K€
1%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050"/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'Dps Fct - Pcpal'!$G$98:$G$105</c:f>
              <c:strCache>
                <c:ptCount val="8"/>
                <c:pt idx="0">
                  <c:v>Administration générale</c:v>
                </c:pt>
                <c:pt idx="1">
                  <c:v>Culture</c:v>
                </c:pt>
                <c:pt idx="2">
                  <c:v>Services techniques</c:v>
                </c:pt>
                <c:pt idx="3">
                  <c:v>Grands projets</c:v>
                </c:pt>
                <c:pt idx="4">
                  <c:v>Environnement</c:v>
                </c:pt>
                <c:pt idx="5">
                  <c:v>GEMAPI &amp; Pluvial</c:v>
                </c:pt>
                <c:pt idx="6">
                  <c:v>Tourisme</c:v>
                </c:pt>
                <c:pt idx="7">
                  <c:v>Sports &amp; nautisme</c:v>
                </c:pt>
              </c:strCache>
            </c:strRef>
          </c:cat>
          <c:val>
            <c:numRef>
              <c:f>'Dps Fct - Pcpal'!$H$98:$H$105</c:f>
              <c:numCache>
                <c:formatCode>#,##0,\K"€"</c:formatCode>
                <c:ptCount val="8"/>
                <c:pt idx="0">
                  <c:v>5193655.1900000004</c:v>
                </c:pt>
                <c:pt idx="1">
                  <c:v>2863365.4899999998</c:v>
                </c:pt>
                <c:pt idx="2">
                  <c:v>1569631.93</c:v>
                </c:pt>
                <c:pt idx="3">
                  <c:v>722069.52</c:v>
                </c:pt>
                <c:pt idx="4">
                  <c:v>667373.35</c:v>
                </c:pt>
                <c:pt idx="5">
                  <c:v>587733.85</c:v>
                </c:pt>
                <c:pt idx="6">
                  <c:v>562313.45000000007</c:v>
                </c:pt>
                <c:pt idx="7">
                  <c:v>125458.77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/>
      </a:pPr>
      <a:endParaRPr lang="fr-F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'Dps Fct - Pcpal'!$L$127</c:f>
              <c:strCache>
                <c:ptCount val="1"/>
                <c:pt idx="0">
                  <c:v>Participations budgets annexes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'Dps Fct - Pcpal'!$M$126:$N$126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'Dps Fct - Pcpal'!$M$127:$N$127</c:f>
              <c:numCache>
                <c:formatCode>#,##0,\K"€"</c:formatCode>
                <c:ptCount val="2"/>
                <c:pt idx="0">
                  <c:v>3892421.9800000004</c:v>
                </c:pt>
                <c:pt idx="1">
                  <c:v>3587866.67</c:v>
                </c:pt>
              </c:numCache>
            </c:numRef>
          </c:val>
        </c:ser>
        <c:ser>
          <c:idx val="1"/>
          <c:order val="1"/>
          <c:tx>
            <c:strRef>
              <c:f>'Dps Fct - Pcpal'!$L$128</c:f>
              <c:strCache>
                <c:ptCount val="1"/>
                <c:pt idx="0">
                  <c:v>Contingent SDIS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'Dps Fct - Pcpal'!$M$126:$N$126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'Dps Fct - Pcpal'!$M$128:$N$128</c:f>
              <c:numCache>
                <c:formatCode>#,##0,\K"€"</c:formatCode>
                <c:ptCount val="2"/>
                <c:pt idx="0">
                  <c:v>1833457.17</c:v>
                </c:pt>
                <c:pt idx="1">
                  <c:v>1825975.34</c:v>
                </c:pt>
              </c:numCache>
            </c:numRef>
          </c:val>
        </c:ser>
        <c:ser>
          <c:idx val="2"/>
          <c:order val="2"/>
          <c:tx>
            <c:strRef>
              <c:f>'Dps Fct - Pcpal'!$L$129</c:f>
              <c:strCache>
                <c:ptCount val="1"/>
                <c:pt idx="0">
                  <c:v>Subventions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'Dps Fct - Pcpal'!$M$126:$N$126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'Dps Fct - Pcpal'!$M$129:$N$129</c:f>
              <c:numCache>
                <c:formatCode>#,##0,\K"€"</c:formatCode>
                <c:ptCount val="2"/>
                <c:pt idx="0">
                  <c:v>752376.62</c:v>
                </c:pt>
                <c:pt idx="1">
                  <c:v>778363.05999999994</c:v>
                </c:pt>
              </c:numCache>
            </c:numRef>
          </c:val>
        </c:ser>
        <c:ser>
          <c:idx val="3"/>
          <c:order val="3"/>
          <c:tx>
            <c:strRef>
              <c:f>'Dps Fct - Pcpal'!$L$130</c:f>
              <c:strCache>
                <c:ptCount val="1"/>
                <c:pt idx="0">
                  <c:v>Frais &amp; indemnités des élus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'Dps Fct - Pcpal'!$M$126:$N$126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'Dps Fct - Pcpal'!$M$130:$N$130</c:f>
              <c:numCache>
                <c:formatCode>#,##0,\K"€"</c:formatCode>
                <c:ptCount val="2"/>
                <c:pt idx="0">
                  <c:v>424646.44</c:v>
                </c:pt>
                <c:pt idx="1">
                  <c:v>404110.00999999995</c:v>
                </c:pt>
              </c:numCache>
            </c:numRef>
          </c:val>
        </c:ser>
        <c:ser>
          <c:idx val="4"/>
          <c:order val="4"/>
          <c:tx>
            <c:strRef>
              <c:f>'Dps Fct - Pcpal'!$L$131</c:f>
              <c:strCache>
                <c:ptCount val="1"/>
                <c:pt idx="0">
                  <c:v>Autres frais de gestion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'Dps Fct - Pcpal'!$M$126:$N$126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'Dps Fct - Pcpal'!$M$131:$N$131</c:f>
              <c:numCache>
                <c:formatCode>#,##0,\K"€"</c:formatCode>
                <c:ptCount val="2"/>
                <c:pt idx="0">
                  <c:v>40040.039999999994</c:v>
                </c:pt>
                <c:pt idx="1">
                  <c:v>61097.42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062080"/>
        <c:axId val="158063616"/>
      </c:barChart>
      <c:catAx>
        <c:axId val="15806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063616"/>
        <c:crosses val="autoZero"/>
        <c:auto val="1"/>
        <c:lblAlgn val="ctr"/>
        <c:lblOffset val="100"/>
        <c:noMultiLvlLbl val="0"/>
      </c:catAx>
      <c:valAx>
        <c:axId val="158063616"/>
        <c:scaling>
          <c:orientation val="minMax"/>
          <c:max val="7000000"/>
        </c:scaling>
        <c:delete val="0"/>
        <c:axPos val="l"/>
        <c:majorGridlines/>
        <c:numFmt formatCode="#,##0,\K&quot;€&quot;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fr-FR"/>
          </a:p>
        </c:txPr>
        <c:crossAx val="158062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41213269393961"/>
          <c:y val="0.19136989978525412"/>
          <c:w val="0.32255027332109809"/>
          <c:h val="0.61726020042949181"/>
        </c:manualLayout>
      </c:layout>
      <c:overlay val="0"/>
      <c:txPr>
        <a:bodyPr/>
        <a:lstStyle/>
        <a:p>
          <a:pPr>
            <a:defRPr sz="1000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/>
      </a:pPr>
      <a:endParaRPr lang="fr-F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'Tableau Divers'!$N$2:$N$8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'Tableau Divers'!$O$2:$O$8</c:f>
              <c:numCache>
                <c:formatCode>#,##0</c:formatCode>
                <c:ptCount val="7"/>
                <c:pt idx="0">
                  <c:v>663275</c:v>
                </c:pt>
                <c:pt idx="1">
                  <c:v>636307</c:v>
                </c:pt>
                <c:pt idx="2">
                  <c:v>506380</c:v>
                </c:pt>
                <c:pt idx="3">
                  <c:v>489260</c:v>
                </c:pt>
                <c:pt idx="4">
                  <c:v>390264</c:v>
                </c:pt>
                <c:pt idx="5">
                  <c:v>369358.05000000005</c:v>
                </c:pt>
                <c:pt idx="6">
                  <c:v>343428.52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080000"/>
        <c:axId val="158085888"/>
      </c:barChart>
      <c:catAx>
        <c:axId val="15808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085888"/>
        <c:crosses val="autoZero"/>
        <c:auto val="1"/>
        <c:lblAlgn val="ctr"/>
        <c:lblOffset val="100"/>
        <c:noMultiLvlLbl val="0"/>
      </c:catAx>
      <c:valAx>
        <c:axId val="158085888"/>
        <c:scaling>
          <c:orientation val="minMax"/>
        </c:scaling>
        <c:delete val="0"/>
        <c:axPos val="l"/>
        <c:majorGridlines/>
        <c:numFmt formatCode="#,##0,\K&quot;€&quot;" sourceLinked="0"/>
        <c:majorTickMark val="out"/>
        <c:minorTickMark val="none"/>
        <c:tickLblPos val="nextTo"/>
        <c:crossAx val="158080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90630984274522"/>
          <c:y val="0.19615151782421142"/>
          <c:w val="0.49295823258313182"/>
          <c:h val="0.61528939103742253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1.9663132659598653E-2"/>
                  <c:y val="-2.8921691913817897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GEMAPI, Pluvial &amp; environnement
3 108K€
35,6%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4.0164540446805792E-2"/>
                  <c:y val="9.8366725092886853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Sports &amp; nautisme
2 034K€
23,3%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1.7277284169294738E-2"/>
                  <c:y val="-9.933490152096644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Administration générale
924K€
10,6%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1.9831723566759475E-2"/>
                  <c:y val="2.8929111671018297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Tourisme
857K€
9,8%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1.3570640105897031E-2"/>
                  <c:y val="6.6545993156670825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Culture
790K€
9,0%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4.3234537706806891E-3"/>
                  <c:y val="-2.5517516118846624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Habitat
623K€
7,1%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2.7316921166966723E-2"/>
                  <c:y val="-1.7668316181119734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Services techniques
364K€
4,2%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8.3604474752955835E-2"/>
                  <c:y val="-1.1345995015569568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Santé
31K€
0,4%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100"/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'Dps Equip - Pcpal'!$H$7:$H$14</c:f>
              <c:strCache>
                <c:ptCount val="8"/>
                <c:pt idx="0">
                  <c:v>GEMAPI, Pluvial &amp; environnement</c:v>
                </c:pt>
                <c:pt idx="1">
                  <c:v>Sports &amp; nautisme</c:v>
                </c:pt>
                <c:pt idx="2">
                  <c:v>Administration générale</c:v>
                </c:pt>
                <c:pt idx="3">
                  <c:v>Tourisme</c:v>
                </c:pt>
                <c:pt idx="4">
                  <c:v>Culture</c:v>
                </c:pt>
                <c:pt idx="5">
                  <c:v>Habitat</c:v>
                </c:pt>
                <c:pt idx="6">
                  <c:v>Services techniques</c:v>
                </c:pt>
                <c:pt idx="7">
                  <c:v>Santé</c:v>
                </c:pt>
              </c:strCache>
            </c:strRef>
          </c:cat>
          <c:val>
            <c:numRef>
              <c:f>'Dps Equip - Pcpal'!$I$7:$I$14</c:f>
              <c:numCache>
                <c:formatCode>#,##0,\K"€"</c:formatCode>
                <c:ptCount val="8"/>
                <c:pt idx="0">
                  <c:v>3108200.35</c:v>
                </c:pt>
                <c:pt idx="1">
                  <c:v>2034293.24</c:v>
                </c:pt>
                <c:pt idx="2">
                  <c:v>923843.61</c:v>
                </c:pt>
                <c:pt idx="3">
                  <c:v>857207.93999999983</c:v>
                </c:pt>
                <c:pt idx="4">
                  <c:v>789945.99000000022</c:v>
                </c:pt>
                <c:pt idx="5">
                  <c:v>623473.37</c:v>
                </c:pt>
                <c:pt idx="6">
                  <c:v>363657.94</c:v>
                </c:pt>
                <c:pt idx="7">
                  <c:v>30704.16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BEA4CD-C19D-40CA-AEC5-19249C99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47</Pages>
  <Words>11270</Words>
  <Characters>61987</Characters>
  <Application>Microsoft Office Word</Application>
  <DocSecurity>0</DocSecurity>
  <Lines>516</Lines>
  <Paragraphs>146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CARO – rapport CA 2020 – V5</vt:lpstr>
    </vt:vector>
  </TitlesOfParts>
  <Company>CARO</Company>
  <LinksUpToDate>false</LinksUpToDate>
  <CharactersWithSpaces>73111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– rapport CA 2020 – V5</dc:title>
  <dc:creator>jb</dc:creator>
  <cp:lastModifiedBy>DESBORDES Jean-Baptiste</cp:lastModifiedBy>
  <cp:revision>8</cp:revision>
  <cp:lastPrinted>2021-06-17T15:42:00Z</cp:lastPrinted>
  <dcterms:created xsi:type="dcterms:W3CDTF">2021-06-11T13:15:00Z</dcterms:created>
  <dcterms:modified xsi:type="dcterms:W3CDTF">2021-06-18T09:17:00Z</dcterms:modified>
</cp:coreProperties>
</file>